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D9" w:rsidRDefault="008572D9" w:rsidP="008572D9">
      <w:pPr>
        <w:spacing w:line="480" w:lineRule="auto"/>
        <w:jc w:val="center"/>
        <w:rPr>
          <w:b/>
          <w:sz w:val="24"/>
          <w:szCs w:val="24"/>
        </w:rPr>
      </w:pPr>
      <w:r>
        <w:rPr>
          <w:b/>
          <w:sz w:val="24"/>
          <w:szCs w:val="24"/>
        </w:rPr>
        <w:t>Residential Mobility</w:t>
      </w:r>
      <w:r w:rsidR="006A35EA">
        <w:rPr>
          <w:b/>
          <w:sz w:val="24"/>
          <w:szCs w:val="24"/>
        </w:rPr>
        <w:t>: Wealth, Demographic and Housing Market Effects</w:t>
      </w:r>
    </w:p>
    <w:p w:rsidR="008572D9" w:rsidRDefault="008572D9" w:rsidP="008572D9">
      <w:pPr>
        <w:spacing w:line="480" w:lineRule="auto"/>
        <w:jc w:val="center"/>
        <w:rPr>
          <w:sz w:val="24"/>
          <w:szCs w:val="24"/>
        </w:rPr>
      </w:pPr>
      <w:r>
        <w:rPr>
          <w:sz w:val="24"/>
          <w:szCs w:val="24"/>
        </w:rPr>
        <w:t xml:space="preserve">John Ermisch,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Oxford</w:t>
          </w:r>
        </w:smartTag>
      </w:smartTag>
    </w:p>
    <w:p w:rsidR="008572D9" w:rsidRDefault="008572D9" w:rsidP="008572D9">
      <w:pPr>
        <w:spacing w:line="480" w:lineRule="auto"/>
        <w:jc w:val="center"/>
        <w:rPr>
          <w:sz w:val="24"/>
          <w:szCs w:val="24"/>
        </w:rPr>
      </w:pPr>
      <w:r>
        <w:rPr>
          <w:sz w:val="24"/>
          <w:szCs w:val="24"/>
        </w:rPr>
        <w:t xml:space="preserve">Elizabeth </w:t>
      </w:r>
      <w:proofErr w:type="spellStart"/>
      <w:r>
        <w:rPr>
          <w:sz w:val="24"/>
          <w:szCs w:val="24"/>
        </w:rPr>
        <w:t>Washbrook</w:t>
      </w:r>
      <w:proofErr w:type="spellEnd"/>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Bristol</w:t>
          </w:r>
        </w:smartTag>
      </w:smartTag>
    </w:p>
    <w:p w:rsidR="00CF74B5" w:rsidRDefault="00CF74B5" w:rsidP="008572D9">
      <w:pPr>
        <w:spacing w:line="480" w:lineRule="auto"/>
        <w:jc w:val="center"/>
        <w:rPr>
          <w:sz w:val="24"/>
          <w:szCs w:val="24"/>
        </w:rPr>
      </w:pPr>
      <w:r>
        <w:rPr>
          <w:sz w:val="24"/>
          <w:szCs w:val="24"/>
        </w:rPr>
        <w:t>Abstract</w:t>
      </w:r>
    </w:p>
    <w:p w:rsidR="00CF74B5" w:rsidRPr="008572D9" w:rsidRDefault="00CF74B5" w:rsidP="00CF74B5">
      <w:pPr>
        <w:rPr>
          <w:sz w:val="24"/>
          <w:szCs w:val="24"/>
        </w:rPr>
      </w:pPr>
      <w:r>
        <w:rPr>
          <w:sz w:val="24"/>
          <w:szCs w:val="24"/>
        </w:rPr>
        <w:t>The paper presents</w:t>
      </w:r>
      <w:r w:rsidRPr="008572D9">
        <w:rPr>
          <w:sz w:val="24"/>
          <w:szCs w:val="24"/>
        </w:rPr>
        <w:t xml:space="preserve"> a very simple model in which housing equity can influence mobility, and then estimate</w:t>
      </w:r>
      <w:r>
        <w:rPr>
          <w:sz w:val="24"/>
          <w:szCs w:val="24"/>
        </w:rPr>
        <w:t>s</w:t>
      </w:r>
      <w:r w:rsidRPr="008572D9">
        <w:rPr>
          <w:sz w:val="24"/>
          <w:szCs w:val="24"/>
        </w:rPr>
        <w:t xml:space="preserve"> </w:t>
      </w:r>
      <w:r>
        <w:rPr>
          <w:sz w:val="24"/>
          <w:szCs w:val="24"/>
        </w:rPr>
        <w:t>parameters</w:t>
      </w:r>
      <w:r w:rsidRPr="008572D9">
        <w:rPr>
          <w:sz w:val="24"/>
          <w:szCs w:val="24"/>
        </w:rPr>
        <w:t xml:space="preserve"> that gauge the impact of housing equity</w:t>
      </w:r>
      <w:r w:rsidR="00E929BE">
        <w:rPr>
          <w:sz w:val="24"/>
          <w:szCs w:val="24"/>
        </w:rPr>
        <w:t xml:space="preserve">, local house prices </w:t>
      </w:r>
      <w:r w:rsidR="00D526E7">
        <w:rPr>
          <w:sz w:val="24"/>
          <w:szCs w:val="24"/>
        </w:rPr>
        <w:t xml:space="preserve">and other variables associated with household structure and change </w:t>
      </w:r>
      <w:r w:rsidRPr="008572D9">
        <w:rPr>
          <w:sz w:val="24"/>
          <w:szCs w:val="24"/>
        </w:rPr>
        <w:t>on residential movement within the UK</w:t>
      </w:r>
      <w:r>
        <w:rPr>
          <w:sz w:val="24"/>
          <w:szCs w:val="24"/>
        </w:rPr>
        <w:t xml:space="preserve">.  The data come </w:t>
      </w:r>
      <w:r w:rsidRPr="008572D9">
        <w:rPr>
          <w:sz w:val="24"/>
          <w:szCs w:val="24"/>
        </w:rPr>
        <w:t>from the B</w:t>
      </w:r>
      <w:r>
        <w:rPr>
          <w:sz w:val="24"/>
          <w:szCs w:val="24"/>
        </w:rPr>
        <w:t>ritish Household Panel Study (B</w:t>
      </w:r>
      <w:r w:rsidRPr="008572D9">
        <w:rPr>
          <w:sz w:val="24"/>
          <w:szCs w:val="24"/>
        </w:rPr>
        <w:t>HPS</w:t>
      </w:r>
      <w:r w:rsidR="00C15E75">
        <w:rPr>
          <w:sz w:val="24"/>
          <w:szCs w:val="24"/>
        </w:rPr>
        <w:t>) over 1992-2008, which allow</w:t>
      </w:r>
      <w:r>
        <w:rPr>
          <w:sz w:val="24"/>
          <w:szCs w:val="24"/>
        </w:rPr>
        <w:t xml:space="preserve"> us to use within person variation to identify the parameters. </w:t>
      </w:r>
      <w:r w:rsidR="00B476AD">
        <w:rPr>
          <w:sz w:val="24"/>
          <w:szCs w:val="24"/>
        </w:rPr>
        <w:t>The</w:t>
      </w:r>
      <w:r w:rsidR="00B476AD" w:rsidRPr="00B476AD">
        <w:rPr>
          <w:sz w:val="24"/>
          <w:szCs w:val="24"/>
        </w:rPr>
        <w:t xml:space="preserve"> parameter estimates indicate that estimates based on cross-section variation are seriously biased in our analysis.</w:t>
      </w:r>
      <w:r w:rsidR="00B476AD">
        <w:rPr>
          <w:sz w:val="24"/>
          <w:szCs w:val="24"/>
        </w:rPr>
        <w:t xml:space="preserve"> </w:t>
      </w:r>
      <w:r>
        <w:rPr>
          <w:sz w:val="24"/>
          <w:szCs w:val="24"/>
        </w:rPr>
        <w:t xml:space="preserve">We check the robustness of our results to errors in measuring equity by using an instrumental variable estimator.  Our main finding is that an increase in a household’s housing equity encourages residential mobility substantially, and a decline discourages it.  </w:t>
      </w:r>
    </w:p>
    <w:p w:rsidR="00CF74B5" w:rsidRDefault="00CF74B5" w:rsidP="008572D9">
      <w:pPr>
        <w:spacing w:line="480" w:lineRule="auto"/>
        <w:jc w:val="center"/>
        <w:rPr>
          <w:sz w:val="24"/>
          <w:szCs w:val="24"/>
        </w:rPr>
      </w:pPr>
    </w:p>
    <w:p w:rsidR="008572D9" w:rsidRPr="008572D9" w:rsidRDefault="008572D9" w:rsidP="008572D9">
      <w:pPr>
        <w:spacing w:line="480" w:lineRule="auto"/>
        <w:rPr>
          <w:sz w:val="24"/>
          <w:szCs w:val="24"/>
          <w:u w:val="single"/>
        </w:rPr>
      </w:pPr>
      <w:r>
        <w:rPr>
          <w:sz w:val="24"/>
          <w:szCs w:val="24"/>
          <w:u w:val="single"/>
        </w:rPr>
        <w:t>Introduction</w:t>
      </w:r>
    </w:p>
    <w:p w:rsidR="00476A26" w:rsidRDefault="00334C40" w:rsidP="00476A26">
      <w:pPr>
        <w:spacing w:line="480" w:lineRule="auto"/>
        <w:rPr>
          <w:sz w:val="24"/>
          <w:szCs w:val="24"/>
        </w:rPr>
      </w:pPr>
      <w:r>
        <w:rPr>
          <w:sz w:val="24"/>
          <w:szCs w:val="24"/>
        </w:rPr>
        <w:t>Internal migration is clearly one of the key demographic processes, and migration over longer distances provides an important channel for labour market adjustment and flexibility.  While most residential moves are local, primarily for adjustment of housing consumption, factors that discourage residential mobility also tend to discourage migration over longer distances.</w:t>
      </w:r>
      <w:r w:rsidR="00F90314">
        <w:rPr>
          <w:sz w:val="24"/>
          <w:szCs w:val="24"/>
        </w:rPr>
        <w:t xml:space="preserve">  </w:t>
      </w:r>
      <w:r w:rsidR="00476A26">
        <w:rPr>
          <w:sz w:val="24"/>
          <w:szCs w:val="24"/>
        </w:rPr>
        <w:t>In this paper our focus is on the level of housing equity as a potential constraint on mobility. We</w:t>
      </w:r>
      <w:r w:rsidR="00476A26" w:rsidRPr="008572D9">
        <w:rPr>
          <w:sz w:val="24"/>
          <w:szCs w:val="24"/>
        </w:rPr>
        <w:t xml:space="preserve"> lay out a very simple </w:t>
      </w:r>
      <w:r w:rsidR="0046308A">
        <w:rPr>
          <w:sz w:val="24"/>
          <w:szCs w:val="24"/>
        </w:rPr>
        <w:t xml:space="preserve">theoretical </w:t>
      </w:r>
      <w:r w:rsidR="00476A26" w:rsidRPr="008572D9">
        <w:rPr>
          <w:sz w:val="24"/>
          <w:szCs w:val="24"/>
        </w:rPr>
        <w:t xml:space="preserve">model in which housing equity can influence mobility, and then </w:t>
      </w:r>
      <w:r w:rsidR="00476A26">
        <w:rPr>
          <w:sz w:val="24"/>
          <w:szCs w:val="24"/>
        </w:rPr>
        <w:t>add measures of equity and local house prices to a standard empirical model of the major demographic influences on the likelihood of a move within the UK. Our interest is in whether, as</w:t>
      </w:r>
      <w:r w:rsidR="00476A26" w:rsidRPr="008572D9">
        <w:rPr>
          <w:sz w:val="24"/>
          <w:szCs w:val="24"/>
        </w:rPr>
        <w:t xml:space="preserve"> has often been argued</w:t>
      </w:r>
      <w:r w:rsidR="00476A26">
        <w:rPr>
          <w:sz w:val="24"/>
          <w:szCs w:val="24"/>
        </w:rPr>
        <w:t>,</w:t>
      </w:r>
      <w:r w:rsidR="00476A26" w:rsidRPr="008572D9">
        <w:rPr>
          <w:sz w:val="24"/>
          <w:szCs w:val="24"/>
        </w:rPr>
        <w:t xml:space="preserve"> having small amounts of equity in one’s home </w:t>
      </w:r>
      <w:r w:rsidR="00476A26">
        <w:rPr>
          <w:sz w:val="24"/>
          <w:szCs w:val="24"/>
        </w:rPr>
        <w:t xml:space="preserve">reduces the ability to realize a desired move (e.g. </w:t>
      </w:r>
      <w:proofErr w:type="spellStart"/>
      <w:r w:rsidR="00476A26">
        <w:rPr>
          <w:sz w:val="24"/>
          <w:szCs w:val="24"/>
        </w:rPr>
        <w:t>Ferraria</w:t>
      </w:r>
      <w:proofErr w:type="spellEnd"/>
      <w:r w:rsidR="00476A26">
        <w:rPr>
          <w:sz w:val="24"/>
          <w:szCs w:val="24"/>
        </w:rPr>
        <w:t xml:space="preserve"> et al. 2010)</w:t>
      </w:r>
      <w:r w:rsidR="00476A26" w:rsidRPr="008572D9">
        <w:rPr>
          <w:sz w:val="24"/>
          <w:szCs w:val="24"/>
        </w:rPr>
        <w:t xml:space="preserve">.  </w:t>
      </w:r>
    </w:p>
    <w:p w:rsidR="00476A26" w:rsidRDefault="00476A26" w:rsidP="00CE2173">
      <w:pPr>
        <w:spacing w:line="480" w:lineRule="auto"/>
        <w:rPr>
          <w:sz w:val="24"/>
          <w:szCs w:val="24"/>
        </w:rPr>
      </w:pPr>
    </w:p>
    <w:p w:rsidR="00CE2173" w:rsidRDefault="005420DB" w:rsidP="00476A26">
      <w:pPr>
        <w:spacing w:line="480" w:lineRule="auto"/>
        <w:ind w:firstLine="720"/>
        <w:rPr>
          <w:sz w:val="24"/>
          <w:szCs w:val="24"/>
        </w:rPr>
      </w:pPr>
      <w:r>
        <w:rPr>
          <w:sz w:val="24"/>
          <w:szCs w:val="24"/>
        </w:rPr>
        <w:t xml:space="preserve">The classic view of residential mobility holds that moves come about when changes in the household environment or its composition give rise to dissatisfaction </w:t>
      </w:r>
      <w:r>
        <w:rPr>
          <w:sz w:val="24"/>
          <w:szCs w:val="24"/>
        </w:rPr>
        <w:lastRenderedPageBreak/>
        <w:t>with the current housing situation (Rossi, 1955; Brown and Moore, 1970).</w:t>
      </w:r>
      <w:r w:rsidR="00167267">
        <w:rPr>
          <w:sz w:val="24"/>
          <w:szCs w:val="24"/>
        </w:rPr>
        <w:t xml:space="preserve"> The life course </w:t>
      </w:r>
      <w:r w:rsidR="006D7E46">
        <w:rPr>
          <w:sz w:val="24"/>
          <w:szCs w:val="24"/>
        </w:rPr>
        <w:t xml:space="preserve">approach utilizes the notion of a ‘housing career’, one that interacts with careers in the occupational, household and other domains. This </w:t>
      </w:r>
      <w:r w:rsidR="00211EF5">
        <w:rPr>
          <w:sz w:val="24"/>
          <w:szCs w:val="24"/>
        </w:rPr>
        <w:t xml:space="preserve">approach </w:t>
      </w:r>
      <w:r w:rsidR="006D7E46">
        <w:rPr>
          <w:sz w:val="24"/>
          <w:szCs w:val="24"/>
        </w:rPr>
        <w:t>has been the basis for a large body of empirical work emphasizing the ‘triggering’ role of life course events on mobility such as leaving the parental home, union formation and dissolution and childbearing</w:t>
      </w:r>
      <w:r w:rsidR="0046308A">
        <w:rPr>
          <w:sz w:val="24"/>
          <w:szCs w:val="24"/>
        </w:rPr>
        <w:t xml:space="preserve"> (Clark and </w:t>
      </w:r>
      <w:proofErr w:type="spellStart"/>
      <w:r w:rsidR="0046308A">
        <w:rPr>
          <w:sz w:val="24"/>
          <w:szCs w:val="24"/>
        </w:rPr>
        <w:t>Dieleman</w:t>
      </w:r>
      <w:proofErr w:type="spellEnd"/>
      <w:r w:rsidR="0046308A">
        <w:rPr>
          <w:sz w:val="24"/>
          <w:szCs w:val="24"/>
        </w:rPr>
        <w:t>, 1996</w:t>
      </w:r>
      <w:r w:rsidR="00BB28B2">
        <w:rPr>
          <w:sz w:val="24"/>
          <w:szCs w:val="24"/>
        </w:rPr>
        <w:t xml:space="preserve">; </w:t>
      </w:r>
      <w:proofErr w:type="spellStart"/>
      <w:r w:rsidR="00BB28B2">
        <w:rPr>
          <w:sz w:val="24"/>
          <w:szCs w:val="24"/>
        </w:rPr>
        <w:t>Mulder</w:t>
      </w:r>
      <w:proofErr w:type="spellEnd"/>
      <w:r w:rsidR="00BB28B2">
        <w:rPr>
          <w:sz w:val="24"/>
          <w:szCs w:val="24"/>
        </w:rPr>
        <w:t xml:space="preserve">, </w:t>
      </w:r>
      <w:r w:rsidR="00BA5F9E">
        <w:rPr>
          <w:sz w:val="24"/>
          <w:szCs w:val="24"/>
        </w:rPr>
        <w:t>1996</w:t>
      </w:r>
      <w:r w:rsidR="0046308A">
        <w:rPr>
          <w:sz w:val="24"/>
          <w:szCs w:val="24"/>
        </w:rPr>
        <w:t>)</w:t>
      </w:r>
      <w:r w:rsidR="006D7E46">
        <w:rPr>
          <w:sz w:val="24"/>
          <w:szCs w:val="24"/>
        </w:rPr>
        <w:t>.</w:t>
      </w:r>
      <w:r w:rsidR="00C91C28">
        <w:rPr>
          <w:sz w:val="24"/>
          <w:szCs w:val="24"/>
        </w:rPr>
        <w:t xml:space="preserve"> </w:t>
      </w:r>
      <w:r w:rsidR="009261DC">
        <w:rPr>
          <w:sz w:val="24"/>
          <w:szCs w:val="24"/>
        </w:rPr>
        <w:t>Transitions to l</w:t>
      </w:r>
      <w:r w:rsidR="00C91C28">
        <w:rPr>
          <w:sz w:val="24"/>
          <w:szCs w:val="24"/>
        </w:rPr>
        <w:t xml:space="preserve">ife stages involving higher levels of commitment – </w:t>
      </w:r>
      <w:r w:rsidR="0086707D">
        <w:rPr>
          <w:sz w:val="24"/>
          <w:szCs w:val="24"/>
        </w:rPr>
        <w:t xml:space="preserve">such as </w:t>
      </w:r>
      <w:r w:rsidR="00C91C28">
        <w:rPr>
          <w:sz w:val="24"/>
          <w:szCs w:val="24"/>
        </w:rPr>
        <w:t xml:space="preserve">marriage and parenthood </w:t>
      </w:r>
      <w:r w:rsidR="009261DC">
        <w:rPr>
          <w:sz w:val="24"/>
          <w:szCs w:val="24"/>
        </w:rPr>
        <w:t>–</w:t>
      </w:r>
      <w:r w:rsidR="00C91C28">
        <w:rPr>
          <w:sz w:val="24"/>
          <w:szCs w:val="24"/>
        </w:rPr>
        <w:t xml:space="preserve"> </w:t>
      </w:r>
      <w:r w:rsidR="009261DC">
        <w:rPr>
          <w:sz w:val="24"/>
          <w:szCs w:val="24"/>
        </w:rPr>
        <w:t xml:space="preserve">lead to requirements for ‘long-stay housing’ (single family dwellings and owner-occupied housing) and </w:t>
      </w:r>
      <w:r w:rsidR="0086707D">
        <w:rPr>
          <w:sz w:val="24"/>
          <w:szCs w:val="24"/>
        </w:rPr>
        <w:t>to changing preferences over dwelling and neighbourhood attributes</w:t>
      </w:r>
      <w:r w:rsidR="0046308A">
        <w:rPr>
          <w:sz w:val="24"/>
          <w:szCs w:val="24"/>
        </w:rPr>
        <w:t xml:space="preserve"> (</w:t>
      </w:r>
      <w:proofErr w:type="spellStart"/>
      <w:r w:rsidR="0046308A">
        <w:rPr>
          <w:sz w:val="24"/>
          <w:szCs w:val="24"/>
        </w:rPr>
        <w:t>Feijten</w:t>
      </w:r>
      <w:proofErr w:type="spellEnd"/>
      <w:r w:rsidR="0046308A">
        <w:rPr>
          <w:sz w:val="24"/>
          <w:szCs w:val="24"/>
        </w:rPr>
        <w:t xml:space="preserve"> and </w:t>
      </w:r>
      <w:proofErr w:type="spellStart"/>
      <w:r w:rsidR="0046308A">
        <w:rPr>
          <w:sz w:val="24"/>
          <w:szCs w:val="24"/>
        </w:rPr>
        <w:t>Mulder</w:t>
      </w:r>
      <w:proofErr w:type="spellEnd"/>
      <w:r w:rsidR="0046308A">
        <w:rPr>
          <w:sz w:val="24"/>
          <w:szCs w:val="24"/>
        </w:rPr>
        <w:t xml:space="preserve">, 2002; </w:t>
      </w:r>
      <w:proofErr w:type="spellStart"/>
      <w:r w:rsidR="00C41724">
        <w:rPr>
          <w:sz w:val="24"/>
          <w:szCs w:val="24"/>
        </w:rPr>
        <w:t>Rabe</w:t>
      </w:r>
      <w:proofErr w:type="spellEnd"/>
      <w:r w:rsidR="00C41724">
        <w:rPr>
          <w:sz w:val="24"/>
          <w:szCs w:val="24"/>
        </w:rPr>
        <w:t xml:space="preserve"> and Taylor, 2010</w:t>
      </w:r>
      <w:r w:rsidR="0046308A">
        <w:rPr>
          <w:sz w:val="24"/>
          <w:szCs w:val="24"/>
        </w:rPr>
        <w:t>)</w:t>
      </w:r>
      <w:r w:rsidR="0086707D">
        <w:rPr>
          <w:sz w:val="24"/>
          <w:szCs w:val="24"/>
        </w:rPr>
        <w:t xml:space="preserve">. </w:t>
      </w:r>
      <w:r w:rsidR="009261DC">
        <w:rPr>
          <w:sz w:val="24"/>
          <w:szCs w:val="24"/>
        </w:rPr>
        <w:t xml:space="preserve"> </w:t>
      </w:r>
      <w:r w:rsidR="00DE1F5F">
        <w:rPr>
          <w:sz w:val="24"/>
          <w:szCs w:val="24"/>
        </w:rPr>
        <w:t>W</w:t>
      </w:r>
      <w:r w:rsidR="0086707D">
        <w:rPr>
          <w:sz w:val="24"/>
          <w:szCs w:val="24"/>
        </w:rPr>
        <w:t>ork in the economics literature has also focused on the investment motive as a reason behind moves to owner-occupied housing</w:t>
      </w:r>
      <w:r w:rsidR="00DE1F5F">
        <w:rPr>
          <w:sz w:val="24"/>
          <w:szCs w:val="24"/>
        </w:rPr>
        <w:t xml:space="preserve"> (</w:t>
      </w:r>
      <w:r w:rsidR="00EF60BE">
        <w:rPr>
          <w:sz w:val="24"/>
          <w:szCs w:val="24"/>
        </w:rPr>
        <w:t xml:space="preserve">e.g. </w:t>
      </w:r>
      <w:r w:rsidR="00DE1F5F">
        <w:rPr>
          <w:sz w:val="24"/>
          <w:szCs w:val="24"/>
        </w:rPr>
        <w:t>Kiel, 1994)</w:t>
      </w:r>
      <w:r w:rsidR="0086707D">
        <w:rPr>
          <w:sz w:val="24"/>
          <w:szCs w:val="24"/>
        </w:rPr>
        <w:t xml:space="preserve">. </w:t>
      </w:r>
      <w:r w:rsidR="00800DA2">
        <w:rPr>
          <w:sz w:val="24"/>
          <w:szCs w:val="24"/>
        </w:rPr>
        <w:t>Desires for mobility m</w:t>
      </w:r>
      <w:r w:rsidR="00B662C0">
        <w:rPr>
          <w:sz w:val="24"/>
          <w:szCs w:val="24"/>
        </w:rPr>
        <w:t>a</w:t>
      </w:r>
      <w:r w:rsidR="00800DA2">
        <w:rPr>
          <w:sz w:val="24"/>
          <w:szCs w:val="24"/>
        </w:rPr>
        <w:t>y be prompted by a wide range of life events, but desires cannot always be realized.</w:t>
      </w:r>
      <w:r w:rsidR="00B662C0">
        <w:rPr>
          <w:sz w:val="24"/>
          <w:szCs w:val="24"/>
        </w:rPr>
        <w:t xml:space="preserve"> The literature has also focused on the constraints that determine the set of feasible alternatives to the current dwelling, and ultimately whether the household prefers to stay where it is or to move. </w:t>
      </w:r>
      <w:r w:rsidR="0026743C">
        <w:rPr>
          <w:sz w:val="24"/>
          <w:szCs w:val="24"/>
        </w:rPr>
        <w:t xml:space="preserve">Income and wealth constraints, transactions costs that vary with tenure, </w:t>
      </w:r>
      <w:r w:rsidR="00DE1F0F">
        <w:rPr>
          <w:sz w:val="24"/>
          <w:szCs w:val="24"/>
        </w:rPr>
        <w:t xml:space="preserve">social ties, </w:t>
      </w:r>
      <w:r w:rsidR="0026743C">
        <w:rPr>
          <w:sz w:val="24"/>
          <w:szCs w:val="24"/>
        </w:rPr>
        <w:t xml:space="preserve">the supply of dwellings and the functioning of the housing and mortgage markets all affect whether a </w:t>
      </w:r>
      <w:r w:rsidR="006164E2">
        <w:rPr>
          <w:sz w:val="24"/>
          <w:szCs w:val="24"/>
        </w:rPr>
        <w:t xml:space="preserve">desired </w:t>
      </w:r>
      <w:r w:rsidR="0026743C">
        <w:rPr>
          <w:sz w:val="24"/>
          <w:szCs w:val="24"/>
        </w:rPr>
        <w:t>move will in fact be realized</w:t>
      </w:r>
      <w:r w:rsidR="0046308A">
        <w:rPr>
          <w:sz w:val="24"/>
          <w:szCs w:val="24"/>
        </w:rPr>
        <w:t xml:space="preserve"> (</w:t>
      </w:r>
      <w:proofErr w:type="spellStart"/>
      <w:r w:rsidR="00DE1F0F">
        <w:rPr>
          <w:sz w:val="24"/>
          <w:szCs w:val="24"/>
        </w:rPr>
        <w:t>Belot</w:t>
      </w:r>
      <w:proofErr w:type="spellEnd"/>
      <w:r w:rsidR="00DE1F0F">
        <w:rPr>
          <w:sz w:val="24"/>
          <w:szCs w:val="24"/>
        </w:rPr>
        <w:t xml:space="preserve"> and </w:t>
      </w:r>
      <w:proofErr w:type="spellStart"/>
      <w:r w:rsidR="00DE1F0F">
        <w:rPr>
          <w:sz w:val="24"/>
          <w:szCs w:val="24"/>
        </w:rPr>
        <w:t>Ermisch</w:t>
      </w:r>
      <w:proofErr w:type="spellEnd"/>
      <w:r w:rsidR="00DE1F0F">
        <w:rPr>
          <w:sz w:val="24"/>
          <w:szCs w:val="24"/>
        </w:rPr>
        <w:t xml:space="preserve">, 2009; </w:t>
      </w:r>
      <w:proofErr w:type="spellStart"/>
      <w:r w:rsidR="0046308A">
        <w:rPr>
          <w:sz w:val="24"/>
          <w:szCs w:val="24"/>
        </w:rPr>
        <w:t>Linneman</w:t>
      </w:r>
      <w:proofErr w:type="spellEnd"/>
      <w:r w:rsidR="0046308A">
        <w:rPr>
          <w:sz w:val="24"/>
          <w:szCs w:val="24"/>
        </w:rPr>
        <w:t xml:space="preserve"> and </w:t>
      </w:r>
      <w:proofErr w:type="spellStart"/>
      <w:r w:rsidR="0046308A">
        <w:rPr>
          <w:sz w:val="24"/>
          <w:szCs w:val="24"/>
        </w:rPr>
        <w:t>Wachter</w:t>
      </w:r>
      <w:proofErr w:type="spellEnd"/>
      <w:r w:rsidR="0046308A">
        <w:rPr>
          <w:sz w:val="24"/>
          <w:szCs w:val="24"/>
        </w:rPr>
        <w:t xml:space="preserve">, 1989; </w:t>
      </w:r>
      <w:proofErr w:type="spellStart"/>
      <w:r w:rsidR="0046308A">
        <w:rPr>
          <w:sz w:val="24"/>
          <w:szCs w:val="24"/>
        </w:rPr>
        <w:t>Helderman</w:t>
      </w:r>
      <w:proofErr w:type="spellEnd"/>
      <w:r w:rsidR="0046308A">
        <w:rPr>
          <w:sz w:val="24"/>
          <w:szCs w:val="24"/>
        </w:rPr>
        <w:t xml:space="preserve"> et al., 2004; </w:t>
      </w:r>
      <w:r w:rsidR="00DE1F0F">
        <w:rPr>
          <w:sz w:val="24"/>
          <w:szCs w:val="24"/>
        </w:rPr>
        <w:t xml:space="preserve">Stein, 1995; </w:t>
      </w:r>
      <w:proofErr w:type="spellStart"/>
      <w:r w:rsidR="00DE1F0F">
        <w:rPr>
          <w:sz w:val="24"/>
          <w:szCs w:val="24"/>
        </w:rPr>
        <w:t>Venti</w:t>
      </w:r>
      <w:proofErr w:type="spellEnd"/>
      <w:r w:rsidR="00DE1F0F">
        <w:rPr>
          <w:sz w:val="24"/>
          <w:szCs w:val="24"/>
        </w:rPr>
        <w:t xml:space="preserve"> and Wise, 1984; Wheaton, 1990)</w:t>
      </w:r>
      <w:r w:rsidR="0026743C">
        <w:rPr>
          <w:sz w:val="24"/>
          <w:szCs w:val="24"/>
        </w:rPr>
        <w:t>.</w:t>
      </w:r>
      <w:r w:rsidR="00CE2173">
        <w:rPr>
          <w:sz w:val="24"/>
          <w:szCs w:val="24"/>
        </w:rPr>
        <w:t xml:space="preserve"> </w:t>
      </w:r>
    </w:p>
    <w:p w:rsidR="008A4BF2" w:rsidRDefault="00A4587E" w:rsidP="00CE2173">
      <w:pPr>
        <w:spacing w:line="480" w:lineRule="auto"/>
        <w:ind w:firstLine="720"/>
        <w:rPr>
          <w:sz w:val="24"/>
          <w:szCs w:val="24"/>
        </w:rPr>
      </w:pPr>
      <w:r>
        <w:rPr>
          <w:sz w:val="24"/>
          <w:szCs w:val="24"/>
        </w:rPr>
        <w:t>The degree of residential mobility</w:t>
      </w:r>
      <w:r w:rsidR="00476A26">
        <w:rPr>
          <w:sz w:val="24"/>
          <w:szCs w:val="24"/>
        </w:rPr>
        <w:t xml:space="preserve"> and the constraints that discourage it are </w:t>
      </w:r>
      <w:r>
        <w:rPr>
          <w:sz w:val="24"/>
          <w:szCs w:val="24"/>
        </w:rPr>
        <w:t xml:space="preserve">important for the operation of the housing </w:t>
      </w:r>
      <w:r w:rsidR="00476A26">
        <w:rPr>
          <w:sz w:val="24"/>
          <w:szCs w:val="24"/>
        </w:rPr>
        <w:t xml:space="preserve">and mortgage </w:t>
      </w:r>
      <w:r>
        <w:rPr>
          <w:sz w:val="24"/>
          <w:szCs w:val="24"/>
        </w:rPr>
        <w:t>market</w:t>
      </w:r>
      <w:r w:rsidR="00476A26">
        <w:rPr>
          <w:sz w:val="24"/>
          <w:szCs w:val="24"/>
        </w:rPr>
        <w:t>s</w:t>
      </w:r>
      <w:r>
        <w:rPr>
          <w:sz w:val="24"/>
          <w:szCs w:val="24"/>
        </w:rPr>
        <w:t>.  For instance, in Wheaton’</w:t>
      </w:r>
      <w:r w:rsidR="00807FC7">
        <w:rPr>
          <w:sz w:val="24"/>
          <w:szCs w:val="24"/>
        </w:rPr>
        <w:t xml:space="preserve">s (1990) </w:t>
      </w:r>
      <w:r w:rsidR="00375064">
        <w:rPr>
          <w:sz w:val="24"/>
          <w:szCs w:val="24"/>
        </w:rPr>
        <w:t xml:space="preserve">matching </w:t>
      </w:r>
      <w:r w:rsidR="00807FC7">
        <w:rPr>
          <w:sz w:val="24"/>
          <w:szCs w:val="24"/>
        </w:rPr>
        <w:t xml:space="preserve">model, in which imperfect information makes it necessary for households to search for a dwelling that meets their needs, the rate at which households </w:t>
      </w:r>
      <w:r w:rsidR="00A8762E">
        <w:rPr>
          <w:sz w:val="24"/>
          <w:szCs w:val="24"/>
        </w:rPr>
        <w:t xml:space="preserve">change their desired house </w:t>
      </w:r>
      <w:r w:rsidR="00807FC7">
        <w:rPr>
          <w:sz w:val="24"/>
          <w:szCs w:val="24"/>
        </w:rPr>
        <w:t xml:space="preserve">affects key housing market variables </w:t>
      </w:r>
      <w:r w:rsidR="00807FC7">
        <w:rPr>
          <w:sz w:val="24"/>
          <w:szCs w:val="24"/>
        </w:rPr>
        <w:lastRenderedPageBreak/>
        <w:t xml:space="preserve">like the proportion of households searching, expected time to sell and house prices.  </w:t>
      </w:r>
      <w:r w:rsidR="000E777E">
        <w:rPr>
          <w:sz w:val="24"/>
          <w:szCs w:val="24"/>
        </w:rPr>
        <w:t xml:space="preserve">In his model, there is a tendency for a higher rate of </w:t>
      </w:r>
      <w:r w:rsidR="00741D18">
        <w:rPr>
          <w:sz w:val="24"/>
          <w:szCs w:val="24"/>
        </w:rPr>
        <w:t>demand change</w:t>
      </w:r>
      <w:r w:rsidR="000E777E">
        <w:rPr>
          <w:sz w:val="24"/>
          <w:szCs w:val="24"/>
        </w:rPr>
        <w:t xml:space="preserve"> to increase the rate at which houses are sold and </w:t>
      </w:r>
      <w:r w:rsidR="003C7D51">
        <w:rPr>
          <w:sz w:val="24"/>
          <w:szCs w:val="24"/>
        </w:rPr>
        <w:t xml:space="preserve">to </w:t>
      </w:r>
      <w:r w:rsidR="000E777E">
        <w:rPr>
          <w:sz w:val="24"/>
          <w:szCs w:val="24"/>
        </w:rPr>
        <w:t xml:space="preserve">raise house prices.  </w:t>
      </w:r>
      <w:r w:rsidR="000A7034">
        <w:rPr>
          <w:sz w:val="24"/>
          <w:szCs w:val="24"/>
        </w:rPr>
        <w:t>Figure 1 illustrates a broad positive correlation (</w:t>
      </w:r>
      <w:r w:rsidR="000A7034" w:rsidRPr="00AE5517">
        <w:rPr>
          <w:i/>
          <w:sz w:val="24"/>
          <w:szCs w:val="24"/>
        </w:rPr>
        <w:t>r</w:t>
      </w:r>
      <w:r w:rsidR="000A7034">
        <w:rPr>
          <w:sz w:val="24"/>
          <w:szCs w:val="24"/>
        </w:rPr>
        <w:t>=0.57) between the number of property transactions</w:t>
      </w:r>
      <w:r w:rsidR="000A7034">
        <w:rPr>
          <w:rStyle w:val="FootnoteReference"/>
          <w:sz w:val="24"/>
          <w:szCs w:val="24"/>
        </w:rPr>
        <w:footnoteReference w:id="1"/>
      </w:r>
      <w:r w:rsidR="000A7034">
        <w:rPr>
          <w:sz w:val="24"/>
          <w:szCs w:val="24"/>
        </w:rPr>
        <w:t xml:space="preserve"> and the real house price of existing houses (i.e. deflated by the retail price index (</w:t>
      </w:r>
      <w:smartTag w:uri="urn:schemas-microsoft-com:office:smarttags" w:element="stockticker">
        <w:r w:rsidR="000A7034">
          <w:rPr>
            <w:sz w:val="24"/>
            <w:szCs w:val="24"/>
          </w:rPr>
          <w:t>RPI</w:t>
        </w:r>
      </w:smartTag>
      <w:r w:rsidR="000A7034">
        <w:rPr>
          <w:sz w:val="24"/>
          <w:szCs w:val="24"/>
        </w:rPr>
        <w:t>))</w:t>
      </w:r>
      <w:r w:rsidR="000A7034">
        <w:rPr>
          <w:rStyle w:val="FootnoteReference"/>
          <w:sz w:val="24"/>
          <w:szCs w:val="24"/>
        </w:rPr>
        <w:footnoteReference w:id="2"/>
      </w:r>
      <w:r w:rsidR="000A7034">
        <w:rPr>
          <w:sz w:val="24"/>
          <w:szCs w:val="24"/>
        </w:rPr>
        <w:t xml:space="preserve">, as </w:t>
      </w:r>
      <w:smartTag w:uri="urn:schemas-microsoft-com:office:smarttags" w:element="City">
        <w:smartTag w:uri="urn:schemas-microsoft-com:office:smarttags" w:element="place">
          <w:r w:rsidR="000A7034">
            <w:rPr>
              <w:sz w:val="24"/>
              <w:szCs w:val="24"/>
            </w:rPr>
            <w:t>Wheaton</w:t>
          </w:r>
        </w:smartTag>
      </w:smartTag>
      <w:r w:rsidR="000A7034">
        <w:rPr>
          <w:sz w:val="24"/>
          <w:szCs w:val="24"/>
        </w:rPr>
        <w:t>’s theory would suggest.</w:t>
      </w:r>
      <w:r w:rsidR="000A7034">
        <w:rPr>
          <w:rStyle w:val="FootnoteReference"/>
          <w:sz w:val="24"/>
          <w:szCs w:val="24"/>
        </w:rPr>
        <w:footnoteReference w:id="3"/>
      </w:r>
      <w:r w:rsidR="000A7034">
        <w:rPr>
          <w:sz w:val="24"/>
          <w:szCs w:val="24"/>
        </w:rPr>
        <w:t xml:space="preserve"> </w:t>
      </w:r>
      <w:r w:rsidR="00476A26">
        <w:rPr>
          <w:sz w:val="24"/>
          <w:szCs w:val="24"/>
        </w:rPr>
        <w:t xml:space="preserve">The size of the impact of </w:t>
      </w:r>
      <w:r w:rsidR="008A4BF2">
        <w:rPr>
          <w:sz w:val="24"/>
          <w:szCs w:val="24"/>
        </w:rPr>
        <w:t xml:space="preserve">housing equity on mobility also has implications for the formulation of regulations on mortgage lending. </w:t>
      </w:r>
      <w:r w:rsidR="00CE2173" w:rsidRPr="008572D9">
        <w:rPr>
          <w:sz w:val="24"/>
          <w:szCs w:val="24"/>
        </w:rPr>
        <w:t>Large falls in house prices, such as those in the early 1990s in the UK and in many parts of the USA</w:t>
      </w:r>
      <w:r w:rsidR="00CE2173">
        <w:rPr>
          <w:sz w:val="24"/>
          <w:szCs w:val="24"/>
        </w:rPr>
        <w:t xml:space="preserve"> in recent years</w:t>
      </w:r>
      <w:r w:rsidR="00CE2173" w:rsidRPr="008572D9">
        <w:rPr>
          <w:sz w:val="24"/>
          <w:szCs w:val="24"/>
        </w:rPr>
        <w:t xml:space="preserve">, are alleged to reduce residential mobility because they wipe out housing equity.  </w:t>
      </w:r>
      <w:r w:rsidR="008A4BF2">
        <w:rPr>
          <w:sz w:val="24"/>
          <w:szCs w:val="24"/>
        </w:rPr>
        <w:t xml:space="preserve">In the extreme case the household may end up with negative equity </w:t>
      </w:r>
      <w:r w:rsidR="008A4BF2" w:rsidRPr="008572D9">
        <w:rPr>
          <w:sz w:val="24"/>
          <w:szCs w:val="24"/>
        </w:rPr>
        <w:t xml:space="preserve">—owing more on the mortgage than the house is worth.  </w:t>
      </w:r>
      <w:r w:rsidR="00CE2173" w:rsidRPr="008572D9">
        <w:rPr>
          <w:sz w:val="24"/>
          <w:szCs w:val="24"/>
        </w:rPr>
        <w:t>High loan-to-value ratios</w:t>
      </w:r>
      <w:r w:rsidR="008A4BF2">
        <w:rPr>
          <w:sz w:val="24"/>
          <w:szCs w:val="24"/>
        </w:rPr>
        <w:t>, if permitted,</w:t>
      </w:r>
      <w:r w:rsidR="00CE2173" w:rsidRPr="008572D9">
        <w:rPr>
          <w:sz w:val="24"/>
          <w:szCs w:val="24"/>
        </w:rPr>
        <w:t xml:space="preserve"> make it more likely that negative equity emerges.  </w:t>
      </w:r>
    </w:p>
    <w:p w:rsidR="00476A26" w:rsidRDefault="00A208E7" w:rsidP="00A208E7">
      <w:pPr>
        <w:spacing w:line="480" w:lineRule="auto"/>
        <w:ind w:firstLine="720"/>
        <w:rPr>
          <w:sz w:val="24"/>
          <w:szCs w:val="24"/>
        </w:rPr>
      </w:pPr>
      <w:r>
        <w:rPr>
          <w:sz w:val="24"/>
          <w:szCs w:val="24"/>
        </w:rPr>
        <w:t xml:space="preserve">In this paper </w:t>
      </w:r>
      <w:r w:rsidR="00CE71BD">
        <w:rPr>
          <w:sz w:val="24"/>
          <w:szCs w:val="24"/>
        </w:rPr>
        <w:t xml:space="preserve">we </w:t>
      </w:r>
      <w:r w:rsidR="00CE2173" w:rsidRPr="008572D9">
        <w:rPr>
          <w:sz w:val="24"/>
          <w:szCs w:val="24"/>
        </w:rPr>
        <w:t xml:space="preserve">estimate </w:t>
      </w:r>
      <w:r w:rsidR="00CE2173">
        <w:rPr>
          <w:sz w:val="24"/>
          <w:szCs w:val="24"/>
        </w:rPr>
        <w:t>parameters</w:t>
      </w:r>
      <w:r w:rsidR="00CE2173" w:rsidRPr="008572D9">
        <w:rPr>
          <w:sz w:val="24"/>
          <w:szCs w:val="24"/>
        </w:rPr>
        <w:t xml:space="preserve"> that gauge the impact of housing equity</w:t>
      </w:r>
      <w:r>
        <w:rPr>
          <w:sz w:val="24"/>
          <w:szCs w:val="24"/>
        </w:rPr>
        <w:t xml:space="preserve"> and</w:t>
      </w:r>
      <w:r w:rsidR="00CE2173">
        <w:rPr>
          <w:sz w:val="24"/>
          <w:szCs w:val="24"/>
        </w:rPr>
        <w:t xml:space="preserve"> local house prices</w:t>
      </w:r>
      <w:r>
        <w:rPr>
          <w:sz w:val="24"/>
          <w:szCs w:val="24"/>
        </w:rPr>
        <w:t xml:space="preserve">, alongside other more standard mobility triggers, </w:t>
      </w:r>
      <w:r w:rsidR="00CE2173">
        <w:rPr>
          <w:sz w:val="24"/>
          <w:szCs w:val="24"/>
        </w:rPr>
        <w:t xml:space="preserve">using data </w:t>
      </w:r>
      <w:r w:rsidR="00CE2173" w:rsidRPr="008572D9">
        <w:rPr>
          <w:sz w:val="24"/>
          <w:szCs w:val="24"/>
        </w:rPr>
        <w:t>from the B</w:t>
      </w:r>
      <w:r w:rsidR="00CE2173">
        <w:rPr>
          <w:sz w:val="24"/>
          <w:szCs w:val="24"/>
        </w:rPr>
        <w:t>ritish Household Panel Study (B</w:t>
      </w:r>
      <w:r w:rsidR="00CE2173" w:rsidRPr="008572D9">
        <w:rPr>
          <w:sz w:val="24"/>
          <w:szCs w:val="24"/>
        </w:rPr>
        <w:t>HPS</w:t>
      </w:r>
      <w:r w:rsidR="00CE2173">
        <w:rPr>
          <w:sz w:val="24"/>
          <w:szCs w:val="24"/>
        </w:rPr>
        <w:t xml:space="preserve">).  These data </w:t>
      </w:r>
      <w:r w:rsidR="00CE71BD">
        <w:rPr>
          <w:sz w:val="24"/>
          <w:szCs w:val="24"/>
        </w:rPr>
        <w:t>permit</w:t>
      </w:r>
      <w:r w:rsidR="00CE2173">
        <w:rPr>
          <w:sz w:val="24"/>
          <w:szCs w:val="24"/>
        </w:rPr>
        <w:t xml:space="preserve"> us to allow for persistent unobservable effects on mobility in our econometric analysis by using within person variation to identify the parameters.</w:t>
      </w:r>
      <w:r>
        <w:rPr>
          <w:sz w:val="24"/>
          <w:szCs w:val="24"/>
        </w:rPr>
        <w:t xml:space="preserve"> </w:t>
      </w:r>
      <w:r w:rsidR="00476A26">
        <w:rPr>
          <w:sz w:val="24"/>
          <w:szCs w:val="24"/>
        </w:rPr>
        <w:t xml:space="preserve">We find that, after accounting for the major demographic determinants of mobility and for unobserved individual characteristics, a rise in housing equity increases the ability of the household to realize a move substantially.  </w:t>
      </w:r>
      <w:r w:rsidR="00476A26" w:rsidRPr="00C15E75">
        <w:rPr>
          <w:sz w:val="24"/>
          <w:szCs w:val="24"/>
        </w:rPr>
        <w:t xml:space="preserve">  </w:t>
      </w:r>
    </w:p>
    <w:p w:rsidR="00C15E75" w:rsidRPr="00C15E75" w:rsidRDefault="00C15E75" w:rsidP="00C15E75">
      <w:pPr>
        <w:spacing w:line="480" w:lineRule="auto"/>
        <w:ind w:firstLine="720"/>
        <w:rPr>
          <w:sz w:val="24"/>
          <w:szCs w:val="24"/>
        </w:rPr>
      </w:pPr>
    </w:p>
    <w:p w:rsidR="00B476AD" w:rsidRDefault="00B476AD" w:rsidP="002240D8">
      <w:pPr>
        <w:spacing w:line="480" w:lineRule="auto"/>
        <w:rPr>
          <w:sz w:val="24"/>
          <w:szCs w:val="24"/>
        </w:rPr>
      </w:pPr>
    </w:p>
    <w:p w:rsidR="002240D8" w:rsidRPr="009D7E73" w:rsidRDefault="002240D8" w:rsidP="002240D8">
      <w:pPr>
        <w:spacing w:line="480" w:lineRule="auto"/>
        <w:rPr>
          <w:sz w:val="24"/>
          <w:szCs w:val="24"/>
          <w:u w:val="single"/>
        </w:rPr>
      </w:pPr>
      <w:r w:rsidRPr="009D4C3F">
        <w:rPr>
          <w:sz w:val="24"/>
          <w:szCs w:val="24"/>
          <w:u w:val="single"/>
        </w:rPr>
        <w:lastRenderedPageBreak/>
        <w:t>A Simple Model of Financial Influences on Residential Movement</w:t>
      </w:r>
    </w:p>
    <w:p w:rsidR="002240D8" w:rsidRPr="00847926" w:rsidRDefault="00771528" w:rsidP="002240D8">
      <w:pPr>
        <w:spacing w:line="480" w:lineRule="auto"/>
        <w:rPr>
          <w:sz w:val="24"/>
          <w:szCs w:val="24"/>
        </w:rPr>
      </w:pPr>
      <w:r>
        <w:rPr>
          <w:sz w:val="24"/>
          <w:szCs w:val="24"/>
        </w:rPr>
        <w:t xml:space="preserve">Our model abstracts from imperfect information and search considerations, but it provides a simple framework for our empirical analysis.  </w:t>
      </w:r>
      <w:r w:rsidR="002240D8">
        <w:rPr>
          <w:sz w:val="24"/>
          <w:szCs w:val="24"/>
        </w:rPr>
        <w:t xml:space="preserve">Suppose there are two types of house—a </w:t>
      </w:r>
      <w:r w:rsidR="00847926">
        <w:rPr>
          <w:sz w:val="24"/>
          <w:szCs w:val="24"/>
        </w:rPr>
        <w:t>‘</w:t>
      </w:r>
      <w:r w:rsidR="002240D8">
        <w:rPr>
          <w:sz w:val="24"/>
          <w:szCs w:val="24"/>
        </w:rPr>
        <w:t>smaller</w:t>
      </w:r>
      <w:r w:rsidR="000058CE">
        <w:rPr>
          <w:sz w:val="24"/>
          <w:szCs w:val="24"/>
        </w:rPr>
        <w:t xml:space="preserve"> or </w:t>
      </w:r>
      <w:r w:rsidR="002A3B27">
        <w:rPr>
          <w:sz w:val="24"/>
          <w:szCs w:val="24"/>
        </w:rPr>
        <w:t>lower quality</w:t>
      </w:r>
      <w:r w:rsidR="00847926">
        <w:rPr>
          <w:sz w:val="24"/>
          <w:szCs w:val="24"/>
        </w:rPr>
        <w:t>’</w:t>
      </w:r>
      <w:r w:rsidR="002240D8">
        <w:rPr>
          <w:sz w:val="24"/>
          <w:szCs w:val="24"/>
        </w:rPr>
        <w:t xml:space="preserve"> one, denoted as H</w:t>
      </w:r>
      <w:r w:rsidR="002240D8">
        <w:rPr>
          <w:sz w:val="24"/>
          <w:szCs w:val="24"/>
          <w:vertAlign w:val="subscript"/>
        </w:rPr>
        <w:t>0</w:t>
      </w:r>
      <w:r w:rsidR="002240D8">
        <w:rPr>
          <w:sz w:val="24"/>
          <w:szCs w:val="24"/>
        </w:rPr>
        <w:t xml:space="preserve">, and a </w:t>
      </w:r>
      <w:r w:rsidR="00847926">
        <w:rPr>
          <w:sz w:val="24"/>
          <w:szCs w:val="24"/>
        </w:rPr>
        <w:t>‘</w:t>
      </w:r>
      <w:r w:rsidR="002240D8">
        <w:rPr>
          <w:sz w:val="24"/>
          <w:szCs w:val="24"/>
        </w:rPr>
        <w:t>larger</w:t>
      </w:r>
      <w:r w:rsidR="000058CE">
        <w:rPr>
          <w:sz w:val="24"/>
          <w:szCs w:val="24"/>
        </w:rPr>
        <w:t xml:space="preserve"> or </w:t>
      </w:r>
      <w:r w:rsidR="002A3B27">
        <w:rPr>
          <w:sz w:val="24"/>
          <w:szCs w:val="24"/>
        </w:rPr>
        <w:t>higher quality</w:t>
      </w:r>
      <w:r w:rsidR="00847926">
        <w:rPr>
          <w:sz w:val="24"/>
          <w:szCs w:val="24"/>
        </w:rPr>
        <w:t>’</w:t>
      </w:r>
      <w:r w:rsidR="002240D8">
        <w:rPr>
          <w:sz w:val="24"/>
          <w:szCs w:val="24"/>
        </w:rPr>
        <w:t xml:space="preserve"> house, denoted as H</w:t>
      </w:r>
      <w:r w:rsidR="002240D8">
        <w:rPr>
          <w:sz w:val="24"/>
          <w:szCs w:val="24"/>
          <w:vertAlign w:val="subscript"/>
        </w:rPr>
        <w:t>N</w:t>
      </w:r>
      <w:r w:rsidR="002240D8">
        <w:rPr>
          <w:sz w:val="24"/>
          <w:szCs w:val="24"/>
        </w:rPr>
        <w:t xml:space="preserve">.  </w:t>
      </w:r>
      <w:r w:rsidR="00847926">
        <w:rPr>
          <w:sz w:val="24"/>
          <w:szCs w:val="24"/>
        </w:rPr>
        <w:t>We measure ‘housing services’ such that H</w:t>
      </w:r>
      <w:r w:rsidR="00847926">
        <w:rPr>
          <w:sz w:val="24"/>
          <w:szCs w:val="24"/>
          <w:vertAlign w:val="subscript"/>
        </w:rPr>
        <w:t>N</w:t>
      </w:r>
      <w:r w:rsidR="00847926">
        <w:rPr>
          <w:sz w:val="24"/>
          <w:szCs w:val="24"/>
        </w:rPr>
        <w:t>=λH</w:t>
      </w:r>
      <w:r w:rsidR="00847926">
        <w:rPr>
          <w:sz w:val="24"/>
          <w:szCs w:val="24"/>
          <w:vertAlign w:val="subscript"/>
        </w:rPr>
        <w:t>0</w:t>
      </w:r>
      <w:r w:rsidR="00847926">
        <w:rPr>
          <w:sz w:val="24"/>
          <w:szCs w:val="24"/>
        </w:rPr>
        <w:t xml:space="preserve">, </w:t>
      </w:r>
      <w:r w:rsidR="001318D6">
        <w:rPr>
          <w:sz w:val="24"/>
          <w:szCs w:val="24"/>
        </w:rPr>
        <w:t xml:space="preserve">where λ&gt;1, </w:t>
      </w:r>
      <w:r w:rsidR="00847926">
        <w:rPr>
          <w:sz w:val="24"/>
          <w:szCs w:val="24"/>
        </w:rPr>
        <w:t>and normalise so that H</w:t>
      </w:r>
      <w:r w:rsidR="00847926">
        <w:rPr>
          <w:sz w:val="24"/>
          <w:szCs w:val="24"/>
          <w:vertAlign w:val="subscript"/>
        </w:rPr>
        <w:t>0</w:t>
      </w:r>
      <w:r w:rsidR="00847926">
        <w:rPr>
          <w:sz w:val="24"/>
          <w:szCs w:val="24"/>
        </w:rPr>
        <w:t xml:space="preserve">=1.  </w:t>
      </w:r>
      <w:r w:rsidR="002240D8">
        <w:rPr>
          <w:sz w:val="24"/>
          <w:szCs w:val="24"/>
        </w:rPr>
        <w:t>As we focus on younger couples, we can think of households contemplating a move to a larger</w:t>
      </w:r>
      <w:r w:rsidR="000058CE">
        <w:rPr>
          <w:sz w:val="24"/>
          <w:szCs w:val="24"/>
        </w:rPr>
        <w:t xml:space="preserve"> or higher quality</w:t>
      </w:r>
      <w:r w:rsidR="002240D8">
        <w:rPr>
          <w:sz w:val="24"/>
          <w:szCs w:val="24"/>
        </w:rPr>
        <w:t xml:space="preserve"> house.  </w:t>
      </w:r>
    </w:p>
    <w:p w:rsidR="00CB22DB" w:rsidRDefault="002240D8" w:rsidP="001857FA">
      <w:pPr>
        <w:spacing w:line="480" w:lineRule="auto"/>
        <w:ind w:firstLine="720"/>
        <w:rPr>
          <w:sz w:val="24"/>
          <w:szCs w:val="24"/>
        </w:rPr>
      </w:pPr>
      <w:r>
        <w:rPr>
          <w:sz w:val="24"/>
          <w:szCs w:val="24"/>
        </w:rPr>
        <w:t>Let W=the household’s financial wealth (i.e. non-housing), yielding a return of r, and y its annual earnings.  Let M</w:t>
      </w:r>
      <w:r>
        <w:rPr>
          <w:sz w:val="24"/>
          <w:szCs w:val="24"/>
          <w:vertAlign w:val="subscript"/>
        </w:rPr>
        <w:t>0</w:t>
      </w:r>
      <w:r>
        <w:rPr>
          <w:sz w:val="24"/>
          <w:szCs w:val="24"/>
        </w:rPr>
        <w:t xml:space="preserve"> be the mortgage stock in the present house, and </w:t>
      </w:r>
      <w:proofErr w:type="spellStart"/>
      <w:r>
        <w:rPr>
          <w:sz w:val="24"/>
          <w:szCs w:val="24"/>
        </w:rPr>
        <w:t>r</w:t>
      </w:r>
      <w:r>
        <w:rPr>
          <w:sz w:val="24"/>
          <w:szCs w:val="24"/>
          <w:vertAlign w:val="subscript"/>
        </w:rPr>
        <w:t>M</w:t>
      </w:r>
      <w:proofErr w:type="spellEnd"/>
      <w:r>
        <w:rPr>
          <w:sz w:val="24"/>
          <w:szCs w:val="24"/>
        </w:rPr>
        <w:t xml:space="preserve"> is the mortgage rate of interest.  The household’s </w:t>
      </w:r>
      <w:r w:rsidR="002777D6">
        <w:rPr>
          <w:sz w:val="24"/>
          <w:szCs w:val="24"/>
        </w:rPr>
        <w:t xml:space="preserve">current </w:t>
      </w:r>
      <w:r>
        <w:rPr>
          <w:sz w:val="24"/>
          <w:szCs w:val="24"/>
        </w:rPr>
        <w:t xml:space="preserve">consumption is </w:t>
      </w:r>
      <w:r w:rsidR="00CB22DB">
        <w:rPr>
          <w:sz w:val="24"/>
          <w:szCs w:val="24"/>
        </w:rPr>
        <w:t>c</w:t>
      </w:r>
      <w:r w:rsidR="002777D6">
        <w:rPr>
          <w:sz w:val="24"/>
          <w:szCs w:val="24"/>
          <w:vertAlign w:val="subscript"/>
        </w:rPr>
        <w:t>0</w:t>
      </w:r>
      <w:r w:rsidR="00CB22DB">
        <w:rPr>
          <w:sz w:val="24"/>
          <w:szCs w:val="24"/>
        </w:rPr>
        <w:t>=</w:t>
      </w:r>
      <w:r>
        <w:rPr>
          <w:sz w:val="24"/>
          <w:szCs w:val="24"/>
        </w:rPr>
        <w:t>y+rW-r</w:t>
      </w:r>
      <w:r>
        <w:rPr>
          <w:sz w:val="24"/>
          <w:szCs w:val="24"/>
          <w:vertAlign w:val="subscript"/>
        </w:rPr>
        <w:t>M</w:t>
      </w:r>
      <w:r>
        <w:rPr>
          <w:sz w:val="24"/>
          <w:szCs w:val="24"/>
        </w:rPr>
        <w:t>M</w:t>
      </w:r>
      <w:r>
        <w:rPr>
          <w:sz w:val="24"/>
          <w:szCs w:val="24"/>
          <w:vertAlign w:val="subscript"/>
        </w:rPr>
        <w:t>0</w:t>
      </w:r>
      <w:r>
        <w:rPr>
          <w:sz w:val="24"/>
          <w:szCs w:val="24"/>
        </w:rPr>
        <w:t xml:space="preserve"> and its </w:t>
      </w:r>
      <w:r w:rsidR="00CB22DB">
        <w:rPr>
          <w:sz w:val="24"/>
          <w:szCs w:val="24"/>
        </w:rPr>
        <w:t xml:space="preserve">current </w:t>
      </w:r>
      <w:r>
        <w:rPr>
          <w:sz w:val="24"/>
          <w:szCs w:val="24"/>
        </w:rPr>
        <w:t xml:space="preserve">utility, derived from consumption (c) and housing, is given by </w:t>
      </w:r>
    </w:p>
    <w:p w:rsidR="002240D8" w:rsidRDefault="002240D8" w:rsidP="00CB22DB">
      <w:pPr>
        <w:spacing w:line="480" w:lineRule="auto"/>
        <w:jc w:val="right"/>
        <w:rPr>
          <w:sz w:val="24"/>
          <w:szCs w:val="24"/>
        </w:rPr>
      </w:pPr>
      <w:proofErr w:type="gramStart"/>
      <w:r>
        <w:rPr>
          <w:sz w:val="24"/>
          <w:szCs w:val="24"/>
        </w:rPr>
        <w:t>U(</w:t>
      </w:r>
      <w:proofErr w:type="gramEnd"/>
      <w:r>
        <w:rPr>
          <w:sz w:val="24"/>
          <w:szCs w:val="24"/>
        </w:rPr>
        <w:t>c</w:t>
      </w:r>
      <w:r w:rsidR="002777D6">
        <w:rPr>
          <w:sz w:val="24"/>
          <w:szCs w:val="24"/>
          <w:vertAlign w:val="subscript"/>
        </w:rPr>
        <w:t>0</w:t>
      </w:r>
      <w:r>
        <w:rPr>
          <w:sz w:val="24"/>
          <w:szCs w:val="24"/>
        </w:rPr>
        <w:t>, H</w:t>
      </w:r>
      <w:r w:rsidR="002777D6">
        <w:rPr>
          <w:sz w:val="24"/>
          <w:szCs w:val="24"/>
          <w:vertAlign w:val="subscript"/>
        </w:rPr>
        <w:t>0</w:t>
      </w:r>
      <w:r>
        <w:rPr>
          <w:sz w:val="24"/>
          <w:szCs w:val="24"/>
        </w:rPr>
        <w:t>)=U(y+rW-r</w:t>
      </w:r>
      <w:r>
        <w:rPr>
          <w:sz w:val="24"/>
          <w:szCs w:val="24"/>
          <w:vertAlign w:val="subscript"/>
        </w:rPr>
        <w:t>M</w:t>
      </w:r>
      <w:r>
        <w:rPr>
          <w:sz w:val="24"/>
          <w:szCs w:val="24"/>
        </w:rPr>
        <w:t>M</w:t>
      </w:r>
      <w:r>
        <w:rPr>
          <w:sz w:val="24"/>
          <w:szCs w:val="24"/>
          <w:vertAlign w:val="subscript"/>
        </w:rPr>
        <w:t>0</w:t>
      </w:r>
      <w:r>
        <w:rPr>
          <w:sz w:val="24"/>
          <w:szCs w:val="24"/>
        </w:rPr>
        <w:t>, H</w:t>
      </w:r>
      <w:r>
        <w:rPr>
          <w:sz w:val="24"/>
          <w:szCs w:val="24"/>
          <w:vertAlign w:val="subscript"/>
        </w:rPr>
        <w:t>0</w:t>
      </w:r>
      <w:r w:rsidR="002777D6">
        <w:rPr>
          <w:sz w:val="24"/>
          <w:szCs w:val="24"/>
        </w:rPr>
        <w:t xml:space="preserve">) </w:t>
      </w:r>
      <w:r w:rsidR="002777D6">
        <w:rPr>
          <w:sz w:val="24"/>
          <w:szCs w:val="24"/>
        </w:rPr>
        <w:tab/>
      </w:r>
      <w:r w:rsidR="00CB22DB">
        <w:rPr>
          <w:sz w:val="24"/>
          <w:szCs w:val="24"/>
        </w:rPr>
        <w:tab/>
      </w:r>
      <w:r w:rsidR="00CB22DB">
        <w:rPr>
          <w:sz w:val="24"/>
          <w:szCs w:val="24"/>
        </w:rPr>
        <w:tab/>
      </w:r>
      <w:r w:rsidR="00CB22DB">
        <w:rPr>
          <w:sz w:val="24"/>
          <w:szCs w:val="24"/>
        </w:rPr>
        <w:tab/>
      </w:r>
      <w:r w:rsidR="00CB22DB">
        <w:rPr>
          <w:sz w:val="24"/>
          <w:szCs w:val="24"/>
        </w:rPr>
        <w:tab/>
        <w:t>(1)</w:t>
      </w:r>
      <w:r>
        <w:rPr>
          <w:sz w:val="24"/>
          <w:szCs w:val="24"/>
        </w:rPr>
        <w:t xml:space="preserve"> </w:t>
      </w:r>
    </w:p>
    <w:p w:rsidR="00CB22DB" w:rsidRDefault="002240D8" w:rsidP="002240D8">
      <w:pPr>
        <w:spacing w:line="480" w:lineRule="auto"/>
        <w:rPr>
          <w:sz w:val="24"/>
          <w:szCs w:val="24"/>
        </w:rPr>
      </w:pPr>
      <w:r>
        <w:rPr>
          <w:sz w:val="24"/>
          <w:szCs w:val="24"/>
        </w:rPr>
        <w:t xml:space="preserve">If the household wishes to buy the </w:t>
      </w:r>
      <w:r w:rsidR="000058CE">
        <w:rPr>
          <w:sz w:val="24"/>
          <w:szCs w:val="24"/>
        </w:rPr>
        <w:t>‘</w:t>
      </w:r>
      <w:r>
        <w:rPr>
          <w:sz w:val="24"/>
          <w:szCs w:val="24"/>
        </w:rPr>
        <w:t>larger house</w:t>
      </w:r>
      <w:r w:rsidR="000058CE">
        <w:rPr>
          <w:sz w:val="24"/>
          <w:szCs w:val="24"/>
        </w:rPr>
        <w:t>’</w:t>
      </w:r>
      <w:r>
        <w:rPr>
          <w:sz w:val="24"/>
          <w:szCs w:val="24"/>
        </w:rPr>
        <w:t xml:space="preserve"> and sell its current one, then its wealth available for house purchase is W+P</w:t>
      </w:r>
      <w:r w:rsidR="006A53DF">
        <w:rPr>
          <w:sz w:val="24"/>
          <w:szCs w:val="24"/>
        </w:rPr>
        <w:t>H</w:t>
      </w:r>
      <w:r>
        <w:rPr>
          <w:sz w:val="24"/>
          <w:szCs w:val="24"/>
          <w:vertAlign w:val="subscript"/>
        </w:rPr>
        <w:t>0</w:t>
      </w:r>
      <w:r>
        <w:rPr>
          <w:sz w:val="24"/>
          <w:szCs w:val="24"/>
        </w:rPr>
        <w:t>-M</w:t>
      </w:r>
      <w:r>
        <w:rPr>
          <w:sz w:val="24"/>
          <w:szCs w:val="24"/>
          <w:vertAlign w:val="subscript"/>
        </w:rPr>
        <w:t>0</w:t>
      </w:r>
      <w:r>
        <w:rPr>
          <w:sz w:val="24"/>
          <w:szCs w:val="24"/>
        </w:rPr>
        <w:t>=</w:t>
      </w:r>
      <w:proofErr w:type="spellStart"/>
      <w:r>
        <w:rPr>
          <w:sz w:val="24"/>
          <w:szCs w:val="24"/>
        </w:rPr>
        <w:t>W+qP</w:t>
      </w:r>
      <w:proofErr w:type="spellEnd"/>
      <w:r>
        <w:rPr>
          <w:sz w:val="24"/>
          <w:szCs w:val="24"/>
        </w:rPr>
        <w:t xml:space="preserve">, where P is the price of </w:t>
      </w:r>
      <w:r w:rsidR="006A53DF">
        <w:rPr>
          <w:sz w:val="24"/>
          <w:szCs w:val="24"/>
        </w:rPr>
        <w:t>housing services in household’s housing market</w:t>
      </w:r>
      <w:r w:rsidR="00B87FC2">
        <w:rPr>
          <w:sz w:val="24"/>
          <w:szCs w:val="24"/>
        </w:rPr>
        <w:t xml:space="preserve"> relative to other consumption</w:t>
      </w:r>
      <w:r w:rsidR="006A53DF">
        <w:rPr>
          <w:sz w:val="24"/>
          <w:szCs w:val="24"/>
        </w:rPr>
        <w:t xml:space="preserve">, </w:t>
      </w:r>
      <w:r w:rsidR="000058CE">
        <w:rPr>
          <w:sz w:val="24"/>
          <w:szCs w:val="24"/>
        </w:rPr>
        <w:t>and</w:t>
      </w:r>
      <w:r>
        <w:rPr>
          <w:sz w:val="24"/>
          <w:szCs w:val="24"/>
        </w:rPr>
        <w:t xml:space="preserve"> q=(P</w:t>
      </w:r>
      <w:r w:rsidR="006A53DF">
        <w:rPr>
          <w:sz w:val="24"/>
          <w:szCs w:val="24"/>
        </w:rPr>
        <w:t>H</w:t>
      </w:r>
      <w:r>
        <w:rPr>
          <w:sz w:val="24"/>
          <w:szCs w:val="24"/>
          <w:vertAlign w:val="subscript"/>
        </w:rPr>
        <w:t>0</w:t>
      </w:r>
      <w:r>
        <w:rPr>
          <w:sz w:val="24"/>
          <w:szCs w:val="24"/>
        </w:rPr>
        <w:t>-M</w:t>
      </w:r>
      <w:r>
        <w:rPr>
          <w:sz w:val="24"/>
          <w:szCs w:val="24"/>
          <w:vertAlign w:val="subscript"/>
        </w:rPr>
        <w:t>0</w:t>
      </w:r>
      <w:r>
        <w:rPr>
          <w:sz w:val="24"/>
          <w:szCs w:val="24"/>
        </w:rPr>
        <w:t>)/P</w:t>
      </w:r>
      <w:r w:rsidR="006A53DF">
        <w:rPr>
          <w:sz w:val="24"/>
          <w:szCs w:val="24"/>
        </w:rPr>
        <w:t>H</w:t>
      </w:r>
      <w:r>
        <w:rPr>
          <w:sz w:val="24"/>
          <w:szCs w:val="24"/>
          <w:vertAlign w:val="subscript"/>
        </w:rPr>
        <w:t>0</w:t>
      </w:r>
      <w:r w:rsidR="006A53DF">
        <w:rPr>
          <w:sz w:val="24"/>
          <w:szCs w:val="24"/>
        </w:rPr>
        <w:t>=(P-M</w:t>
      </w:r>
      <w:r w:rsidR="006A53DF">
        <w:rPr>
          <w:sz w:val="24"/>
          <w:szCs w:val="24"/>
          <w:vertAlign w:val="subscript"/>
        </w:rPr>
        <w:t>0</w:t>
      </w:r>
      <w:r w:rsidR="006A53DF">
        <w:rPr>
          <w:sz w:val="24"/>
          <w:szCs w:val="24"/>
        </w:rPr>
        <w:t xml:space="preserve">)/P </w:t>
      </w:r>
      <w:r w:rsidR="00CB22DB">
        <w:rPr>
          <w:sz w:val="24"/>
          <w:szCs w:val="24"/>
        </w:rPr>
        <w:t>is the ‘housing equity ratio’. If the household buys the larger house, the household must expend P</w:t>
      </w:r>
      <w:r w:rsidR="006A53DF">
        <w:rPr>
          <w:sz w:val="24"/>
          <w:szCs w:val="24"/>
        </w:rPr>
        <w:t>H</w:t>
      </w:r>
      <w:r w:rsidR="00CB22DB">
        <w:rPr>
          <w:sz w:val="24"/>
          <w:szCs w:val="24"/>
          <w:vertAlign w:val="subscript"/>
        </w:rPr>
        <w:t>N</w:t>
      </w:r>
      <w:r w:rsidR="00CB22DB">
        <w:rPr>
          <w:sz w:val="24"/>
          <w:szCs w:val="24"/>
        </w:rPr>
        <w:t>-M</w:t>
      </w:r>
      <w:r w:rsidR="00CB22DB">
        <w:rPr>
          <w:sz w:val="24"/>
          <w:szCs w:val="24"/>
          <w:vertAlign w:val="subscript"/>
        </w:rPr>
        <w:t>N</w:t>
      </w:r>
      <w:r w:rsidR="000058CE">
        <w:rPr>
          <w:sz w:val="24"/>
          <w:szCs w:val="24"/>
          <w:vertAlign w:val="subscript"/>
        </w:rPr>
        <w:t xml:space="preserve"> </w:t>
      </w:r>
      <w:r w:rsidR="000058CE">
        <w:rPr>
          <w:sz w:val="24"/>
          <w:szCs w:val="24"/>
        </w:rPr>
        <w:t>=</w:t>
      </w:r>
      <w:proofErr w:type="spellStart"/>
      <w:r w:rsidR="000058CE">
        <w:rPr>
          <w:sz w:val="24"/>
          <w:szCs w:val="24"/>
        </w:rPr>
        <w:t>Pλ</w:t>
      </w:r>
      <w:proofErr w:type="spellEnd"/>
      <w:r w:rsidR="000058CE">
        <w:rPr>
          <w:sz w:val="24"/>
          <w:szCs w:val="24"/>
        </w:rPr>
        <w:t>-M</w:t>
      </w:r>
      <w:r w:rsidR="000058CE">
        <w:rPr>
          <w:sz w:val="24"/>
          <w:szCs w:val="24"/>
          <w:vertAlign w:val="subscript"/>
        </w:rPr>
        <w:t>N</w:t>
      </w:r>
      <w:r w:rsidR="00CB22DB">
        <w:rPr>
          <w:sz w:val="24"/>
          <w:szCs w:val="24"/>
        </w:rPr>
        <w:t>, where M</w:t>
      </w:r>
      <w:r w:rsidR="00CB22DB">
        <w:rPr>
          <w:sz w:val="24"/>
          <w:szCs w:val="24"/>
          <w:vertAlign w:val="subscript"/>
        </w:rPr>
        <w:t>N</w:t>
      </w:r>
      <w:r w:rsidR="00CB22DB">
        <w:rPr>
          <w:sz w:val="24"/>
          <w:szCs w:val="24"/>
        </w:rPr>
        <w:t xml:space="preserve"> is the mortgage on it.</w:t>
      </w:r>
    </w:p>
    <w:p w:rsidR="00CB22DB" w:rsidRPr="00CB22DB" w:rsidRDefault="00CB22DB" w:rsidP="002240D8">
      <w:pPr>
        <w:spacing w:line="480" w:lineRule="auto"/>
        <w:rPr>
          <w:i/>
          <w:sz w:val="24"/>
          <w:szCs w:val="24"/>
        </w:rPr>
      </w:pPr>
      <w:r>
        <w:rPr>
          <w:i/>
          <w:sz w:val="24"/>
          <w:szCs w:val="24"/>
        </w:rPr>
        <w:t>Down-payment constraint</w:t>
      </w:r>
    </w:p>
    <w:p w:rsidR="009174C0" w:rsidRDefault="009174C0" w:rsidP="002240D8">
      <w:pPr>
        <w:spacing w:line="480" w:lineRule="auto"/>
        <w:rPr>
          <w:sz w:val="24"/>
          <w:szCs w:val="24"/>
        </w:rPr>
      </w:pPr>
      <w:r>
        <w:rPr>
          <w:sz w:val="24"/>
          <w:szCs w:val="24"/>
        </w:rPr>
        <w:t xml:space="preserve">Previous analyses of the relationship between housing equity and residential mobility have often focused on the ‘down-payment constraint’ (Stein 1995; </w:t>
      </w:r>
      <w:proofErr w:type="spellStart"/>
      <w:r>
        <w:rPr>
          <w:sz w:val="24"/>
          <w:szCs w:val="24"/>
        </w:rPr>
        <w:t>Englehardt</w:t>
      </w:r>
      <w:proofErr w:type="spellEnd"/>
      <w:r>
        <w:rPr>
          <w:sz w:val="24"/>
          <w:szCs w:val="24"/>
        </w:rPr>
        <w:t xml:space="preserve">, 2003; </w:t>
      </w:r>
      <w:proofErr w:type="spellStart"/>
      <w:r>
        <w:rPr>
          <w:sz w:val="24"/>
          <w:szCs w:val="24"/>
        </w:rPr>
        <w:t>Ferraria</w:t>
      </w:r>
      <w:proofErr w:type="spellEnd"/>
      <w:r>
        <w:rPr>
          <w:sz w:val="24"/>
          <w:szCs w:val="24"/>
        </w:rPr>
        <w:t xml:space="preserve"> et al. 2010).  Its foundation is a </w:t>
      </w:r>
      <w:r w:rsidR="00767161">
        <w:rPr>
          <w:sz w:val="24"/>
          <w:szCs w:val="24"/>
        </w:rPr>
        <w:t>maximum loan-to-value ratio for purchase of</w:t>
      </w:r>
      <w:r w:rsidR="002240D8">
        <w:rPr>
          <w:sz w:val="24"/>
          <w:szCs w:val="24"/>
        </w:rPr>
        <w:t xml:space="preserve"> the new house</w:t>
      </w:r>
      <w:r>
        <w:rPr>
          <w:sz w:val="24"/>
          <w:szCs w:val="24"/>
        </w:rPr>
        <w:t xml:space="preserve">, </w:t>
      </w:r>
      <w:r w:rsidR="002240D8">
        <w:rPr>
          <w:sz w:val="24"/>
          <w:szCs w:val="24"/>
        </w:rPr>
        <w:t xml:space="preserve">denoted </w:t>
      </w:r>
      <w:r>
        <w:rPr>
          <w:sz w:val="24"/>
          <w:szCs w:val="24"/>
        </w:rPr>
        <w:t xml:space="preserve">here </w:t>
      </w:r>
      <w:r w:rsidR="002240D8">
        <w:rPr>
          <w:sz w:val="24"/>
          <w:szCs w:val="24"/>
        </w:rPr>
        <w:t xml:space="preserve">as k (0≤k≤1), and so if the household cannot borrow against future earnings without a house as collateral it faces a constraint that </w:t>
      </w:r>
    </w:p>
    <w:p w:rsidR="009174C0" w:rsidRDefault="002240D8" w:rsidP="009174C0">
      <w:pPr>
        <w:spacing w:line="480" w:lineRule="auto"/>
        <w:jc w:val="right"/>
        <w:rPr>
          <w:sz w:val="24"/>
          <w:szCs w:val="24"/>
        </w:rPr>
      </w:pPr>
      <w:proofErr w:type="spellStart"/>
      <w:r>
        <w:rPr>
          <w:sz w:val="24"/>
          <w:szCs w:val="24"/>
        </w:rPr>
        <w:lastRenderedPageBreak/>
        <w:t>W+qP</w:t>
      </w:r>
      <w:proofErr w:type="spellEnd"/>
      <w:proofErr w:type="gramStart"/>
      <w:r>
        <w:rPr>
          <w:sz w:val="24"/>
          <w:szCs w:val="24"/>
        </w:rPr>
        <w:t>≥(</w:t>
      </w:r>
      <w:proofErr w:type="gramEnd"/>
      <w:r>
        <w:rPr>
          <w:sz w:val="24"/>
          <w:szCs w:val="24"/>
        </w:rPr>
        <w:t>1-k)</w:t>
      </w:r>
      <w:proofErr w:type="spellStart"/>
      <w:r>
        <w:rPr>
          <w:sz w:val="24"/>
          <w:szCs w:val="24"/>
        </w:rPr>
        <w:t>P</w:t>
      </w:r>
      <w:r w:rsidR="00045297">
        <w:rPr>
          <w:sz w:val="24"/>
          <w:szCs w:val="24"/>
        </w:rPr>
        <w:t>λ</w:t>
      </w:r>
      <w:proofErr w:type="spellEnd"/>
      <w:r w:rsidR="002777D6">
        <w:rPr>
          <w:sz w:val="24"/>
          <w:szCs w:val="24"/>
        </w:rPr>
        <w:t xml:space="preserve"> </w:t>
      </w:r>
      <w:r w:rsidR="002777D6">
        <w:rPr>
          <w:sz w:val="24"/>
          <w:szCs w:val="24"/>
        </w:rPr>
        <w:tab/>
      </w:r>
      <w:r w:rsidR="002777D6">
        <w:rPr>
          <w:sz w:val="24"/>
          <w:szCs w:val="24"/>
        </w:rPr>
        <w:tab/>
      </w:r>
      <w:r w:rsidR="002777D6">
        <w:rPr>
          <w:sz w:val="24"/>
          <w:szCs w:val="24"/>
        </w:rPr>
        <w:tab/>
      </w:r>
      <w:r w:rsidR="002777D6">
        <w:rPr>
          <w:sz w:val="24"/>
          <w:szCs w:val="24"/>
        </w:rPr>
        <w:tab/>
      </w:r>
      <w:r w:rsidR="002777D6">
        <w:rPr>
          <w:sz w:val="24"/>
          <w:szCs w:val="24"/>
        </w:rPr>
        <w:tab/>
      </w:r>
      <w:r w:rsidR="009174C0">
        <w:rPr>
          <w:sz w:val="24"/>
          <w:szCs w:val="24"/>
        </w:rPr>
        <w:tab/>
      </w:r>
      <w:r w:rsidR="009174C0">
        <w:rPr>
          <w:sz w:val="24"/>
          <w:szCs w:val="24"/>
        </w:rPr>
        <w:tab/>
        <w:t>(2)</w:t>
      </w:r>
      <w:r>
        <w:rPr>
          <w:sz w:val="24"/>
          <w:szCs w:val="24"/>
        </w:rPr>
        <w:t xml:space="preserve">  </w:t>
      </w:r>
    </w:p>
    <w:p w:rsidR="000E1C9B" w:rsidRDefault="002240D8" w:rsidP="002240D8">
      <w:pPr>
        <w:spacing w:line="480" w:lineRule="auto"/>
        <w:rPr>
          <w:sz w:val="24"/>
          <w:szCs w:val="24"/>
        </w:rPr>
      </w:pPr>
      <w:r>
        <w:rPr>
          <w:sz w:val="24"/>
          <w:szCs w:val="24"/>
        </w:rPr>
        <w:t xml:space="preserve">If they do not satisfy this </w:t>
      </w:r>
      <w:r w:rsidR="009174C0">
        <w:rPr>
          <w:sz w:val="24"/>
          <w:szCs w:val="24"/>
        </w:rPr>
        <w:t xml:space="preserve">down-payment </w:t>
      </w:r>
      <w:r>
        <w:rPr>
          <w:sz w:val="24"/>
          <w:szCs w:val="24"/>
        </w:rPr>
        <w:t xml:space="preserve">constraint (e.g. when they have negative equity and W=0), then they cannot move to the new house.  </w:t>
      </w:r>
      <w:r w:rsidR="00045297">
        <w:rPr>
          <w:sz w:val="24"/>
          <w:szCs w:val="24"/>
        </w:rPr>
        <w:t>W</w:t>
      </w:r>
      <w:r w:rsidR="000E1C9B">
        <w:rPr>
          <w:sz w:val="24"/>
          <w:szCs w:val="24"/>
        </w:rPr>
        <w:t>e can rewrite (2) as</w:t>
      </w:r>
    </w:p>
    <w:p w:rsidR="000E1C9B" w:rsidRDefault="000E1C9B" w:rsidP="000E1C9B">
      <w:pPr>
        <w:spacing w:line="480" w:lineRule="auto"/>
        <w:ind w:left="720" w:firstLine="720"/>
        <w:jc w:val="right"/>
        <w:rPr>
          <w:sz w:val="24"/>
          <w:szCs w:val="24"/>
        </w:rPr>
      </w:pPr>
      <w:r>
        <w:rPr>
          <w:sz w:val="24"/>
          <w:szCs w:val="24"/>
        </w:rPr>
        <w:t>W/P</w:t>
      </w:r>
      <w:r>
        <w:rPr>
          <w:sz w:val="24"/>
          <w:szCs w:val="24"/>
          <w:vertAlign w:val="subscript"/>
        </w:rPr>
        <w:t xml:space="preserve"> </w:t>
      </w:r>
      <w:r>
        <w:rPr>
          <w:sz w:val="24"/>
          <w:szCs w:val="24"/>
        </w:rPr>
        <w:t>+ q</w:t>
      </w:r>
      <w:proofErr w:type="gramStart"/>
      <w:r>
        <w:rPr>
          <w:sz w:val="24"/>
          <w:szCs w:val="24"/>
        </w:rPr>
        <w:t>≥(</w:t>
      </w:r>
      <w:proofErr w:type="gramEnd"/>
      <w:r>
        <w:rPr>
          <w:sz w:val="24"/>
          <w:szCs w:val="24"/>
        </w:rPr>
        <w:t>1-k)λ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  </w:t>
      </w:r>
    </w:p>
    <w:p w:rsidR="002240D8" w:rsidRDefault="002240D8" w:rsidP="002240D8">
      <w:pPr>
        <w:spacing w:line="480" w:lineRule="auto"/>
        <w:rPr>
          <w:sz w:val="24"/>
          <w:szCs w:val="24"/>
        </w:rPr>
      </w:pPr>
      <w:r>
        <w:rPr>
          <w:sz w:val="24"/>
          <w:szCs w:val="24"/>
        </w:rPr>
        <w:t>Clearly the chances of satisfying this constraint increase with the housing equity ratio, the maximum loan-to-value rati</w:t>
      </w:r>
      <w:r w:rsidR="00B909C0">
        <w:rPr>
          <w:sz w:val="24"/>
          <w:szCs w:val="24"/>
        </w:rPr>
        <w:t>o and financial wealth</w:t>
      </w:r>
      <w:r w:rsidR="000E1C9B">
        <w:rPr>
          <w:sz w:val="24"/>
          <w:szCs w:val="24"/>
        </w:rPr>
        <w:t>; they decline with higher P and higher λ</w:t>
      </w:r>
      <w:r w:rsidR="00B909C0">
        <w:rPr>
          <w:sz w:val="24"/>
          <w:szCs w:val="24"/>
        </w:rPr>
        <w:t>.  H</w:t>
      </w:r>
      <w:r>
        <w:rPr>
          <w:sz w:val="24"/>
          <w:szCs w:val="24"/>
        </w:rPr>
        <w:t xml:space="preserve">ouseholds </w:t>
      </w:r>
      <w:r w:rsidR="00C14C09">
        <w:rPr>
          <w:sz w:val="24"/>
          <w:szCs w:val="24"/>
        </w:rPr>
        <w:t>headed</w:t>
      </w:r>
      <w:r w:rsidR="00B909C0">
        <w:rPr>
          <w:sz w:val="24"/>
          <w:szCs w:val="24"/>
        </w:rPr>
        <w:t xml:space="preserve"> by younger people </w:t>
      </w:r>
      <w:r>
        <w:rPr>
          <w:sz w:val="24"/>
          <w:szCs w:val="24"/>
        </w:rPr>
        <w:t>are likely to have low values of W.</w:t>
      </w:r>
    </w:p>
    <w:p w:rsidR="002240D8" w:rsidRPr="002777D6" w:rsidRDefault="002777D6" w:rsidP="002240D8">
      <w:pPr>
        <w:spacing w:line="480" w:lineRule="auto"/>
        <w:rPr>
          <w:i/>
          <w:sz w:val="24"/>
          <w:szCs w:val="24"/>
        </w:rPr>
      </w:pPr>
      <w:r>
        <w:rPr>
          <w:i/>
          <w:sz w:val="24"/>
          <w:szCs w:val="24"/>
        </w:rPr>
        <w:t>Wealth effects of housing equity</w:t>
      </w:r>
    </w:p>
    <w:p w:rsidR="002777D6" w:rsidRDefault="002777D6" w:rsidP="002240D8">
      <w:pPr>
        <w:spacing w:line="480" w:lineRule="auto"/>
        <w:rPr>
          <w:sz w:val="24"/>
          <w:szCs w:val="24"/>
        </w:rPr>
      </w:pPr>
      <w:r>
        <w:rPr>
          <w:sz w:val="24"/>
          <w:szCs w:val="24"/>
        </w:rPr>
        <w:t xml:space="preserve">Suppose the down-payment constraint is not binding.  </w:t>
      </w:r>
      <w:r w:rsidR="002146CD">
        <w:rPr>
          <w:sz w:val="24"/>
          <w:szCs w:val="24"/>
        </w:rPr>
        <w:t xml:space="preserve">Housing equity will still affect the mobility decision via the size of the mortgage payments required on the new house, and hence the sacrifice in consumption following a move. </w:t>
      </w:r>
      <w:r w:rsidR="002240D8">
        <w:rPr>
          <w:sz w:val="24"/>
          <w:szCs w:val="24"/>
        </w:rPr>
        <w:t xml:space="preserve">The household’s consumption in future periods after purchase of the new house is </w:t>
      </w:r>
      <w:proofErr w:type="spellStart"/>
      <w:r w:rsidR="000D3F20">
        <w:rPr>
          <w:sz w:val="24"/>
          <w:szCs w:val="24"/>
        </w:rPr>
        <w:t>c</w:t>
      </w:r>
      <w:r w:rsidR="000D3F20">
        <w:rPr>
          <w:sz w:val="24"/>
          <w:szCs w:val="24"/>
          <w:vertAlign w:val="subscript"/>
        </w:rPr>
        <w:t>N</w:t>
      </w:r>
      <w:proofErr w:type="spellEnd"/>
      <w:r w:rsidR="000D3F20">
        <w:rPr>
          <w:sz w:val="24"/>
          <w:szCs w:val="24"/>
        </w:rPr>
        <w:t xml:space="preserve"> =</w:t>
      </w:r>
      <w:proofErr w:type="spellStart"/>
      <w:r w:rsidR="002240D8">
        <w:rPr>
          <w:sz w:val="24"/>
          <w:szCs w:val="24"/>
        </w:rPr>
        <w:t>y+</w:t>
      </w:r>
      <w:proofErr w:type="gramStart"/>
      <w:r w:rsidR="002240D8">
        <w:rPr>
          <w:sz w:val="24"/>
          <w:szCs w:val="24"/>
        </w:rPr>
        <w:t>r</w:t>
      </w:r>
      <w:proofErr w:type="spellEnd"/>
      <w:r w:rsidR="002240D8">
        <w:rPr>
          <w:sz w:val="24"/>
          <w:szCs w:val="24"/>
        </w:rPr>
        <w:t>(</w:t>
      </w:r>
      <w:proofErr w:type="gramEnd"/>
      <w:r w:rsidR="002240D8">
        <w:rPr>
          <w:sz w:val="24"/>
          <w:szCs w:val="24"/>
        </w:rPr>
        <w:t>W+</w:t>
      </w:r>
      <w:r w:rsidR="002240D8" w:rsidRPr="00A02334">
        <w:rPr>
          <w:sz w:val="24"/>
          <w:szCs w:val="24"/>
        </w:rPr>
        <w:t xml:space="preserve"> </w:t>
      </w:r>
      <w:proofErr w:type="spellStart"/>
      <w:r w:rsidR="002240D8">
        <w:rPr>
          <w:sz w:val="24"/>
          <w:szCs w:val="24"/>
        </w:rPr>
        <w:t>qP</w:t>
      </w:r>
      <w:proofErr w:type="spellEnd"/>
      <w:r w:rsidR="002240D8">
        <w:rPr>
          <w:sz w:val="24"/>
          <w:szCs w:val="24"/>
        </w:rPr>
        <w:t>−</w:t>
      </w:r>
      <w:r w:rsidR="00045297" w:rsidRPr="00045297">
        <w:rPr>
          <w:sz w:val="24"/>
          <w:szCs w:val="24"/>
        </w:rPr>
        <w:t xml:space="preserve"> </w:t>
      </w:r>
      <w:r w:rsidR="00177BD7">
        <w:rPr>
          <w:sz w:val="24"/>
          <w:szCs w:val="24"/>
        </w:rPr>
        <w:t>PH</w:t>
      </w:r>
      <w:r w:rsidR="00177BD7">
        <w:rPr>
          <w:sz w:val="24"/>
          <w:szCs w:val="24"/>
          <w:vertAlign w:val="subscript"/>
        </w:rPr>
        <w:t>N</w:t>
      </w:r>
      <w:r w:rsidR="002240D8">
        <w:rPr>
          <w:sz w:val="24"/>
          <w:szCs w:val="24"/>
        </w:rPr>
        <w:t>)+(r-</w:t>
      </w:r>
      <w:proofErr w:type="spellStart"/>
      <w:r w:rsidR="002240D8">
        <w:rPr>
          <w:sz w:val="24"/>
          <w:szCs w:val="24"/>
        </w:rPr>
        <w:t>r</w:t>
      </w:r>
      <w:r w:rsidR="002240D8">
        <w:rPr>
          <w:sz w:val="24"/>
          <w:szCs w:val="24"/>
          <w:vertAlign w:val="subscript"/>
        </w:rPr>
        <w:t>M</w:t>
      </w:r>
      <w:proofErr w:type="spellEnd"/>
      <w:r w:rsidR="002240D8">
        <w:rPr>
          <w:sz w:val="24"/>
          <w:szCs w:val="24"/>
        </w:rPr>
        <w:t>)M</w:t>
      </w:r>
      <w:r w:rsidR="002240D8">
        <w:rPr>
          <w:sz w:val="24"/>
          <w:szCs w:val="24"/>
        </w:rPr>
        <w:softHyphen/>
      </w:r>
      <w:r w:rsidR="002240D8">
        <w:rPr>
          <w:sz w:val="24"/>
          <w:szCs w:val="24"/>
          <w:vertAlign w:val="subscript"/>
        </w:rPr>
        <w:t>N</w:t>
      </w:r>
      <w:r w:rsidR="002240D8">
        <w:rPr>
          <w:sz w:val="24"/>
          <w:szCs w:val="24"/>
        </w:rPr>
        <w:t>.  For simplicity, we shall assume r=</w:t>
      </w:r>
      <w:proofErr w:type="spellStart"/>
      <w:r w:rsidR="002240D8">
        <w:rPr>
          <w:sz w:val="24"/>
          <w:szCs w:val="24"/>
        </w:rPr>
        <w:t>r</w:t>
      </w:r>
      <w:r w:rsidR="002240D8">
        <w:rPr>
          <w:sz w:val="24"/>
          <w:szCs w:val="24"/>
          <w:vertAlign w:val="subscript"/>
        </w:rPr>
        <w:t>M</w:t>
      </w:r>
      <w:proofErr w:type="spellEnd"/>
      <w:r w:rsidR="002240D8">
        <w:rPr>
          <w:sz w:val="24"/>
          <w:szCs w:val="24"/>
        </w:rPr>
        <w:t xml:space="preserve"> in what follows.  </w:t>
      </w:r>
      <w:r w:rsidR="000E1C9B">
        <w:rPr>
          <w:sz w:val="24"/>
          <w:szCs w:val="24"/>
        </w:rPr>
        <w:t>T</w:t>
      </w:r>
      <w:r w:rsidR="002240D8">
        <w:rPr>
          <w:sz w:val="24"/>
          <w:szCs w:val="24"/>
        </w:rPr>
        <w:t xml:space="preserve">hen consumption is </w:t>
      </w:r>
      <w:proofErr w:type="spellStart"/>
      <w:r w:rsidR="002240D8">
        <w:rPr>
          <w:sz w:val="24"/>
          <w:szCs w:val="24"/>
        </w:rPr>
        <w:t>y+</w:t>
      </w:r>
      <w:proofErr w:type="gramStart"/>
      <w:r w:rsidR="002240D8">
        <w:rPr>
          <w:sz w:val="24"/>
          <w:szCs w:val="24"/>
        </w:rPr>
        <w:t>r</w:t>
      </w:r>
      <w:proofErr w:type="spellEnd"/>
      <w:r w:rsidR="002240D8">
        <w:rPr>
          <w:sz w:val="24"/>
          <w:szCs w:val="24"/>
        </w:rPr>
        <w:t>{</w:t>
      </w:r>
      <w:proofErr w:type="gramEnd"/>
      <w:r w:rsidR="002240D8">
        <w:rPr>
          <w:sz w:val="24"/>
          <w:szCs w:val="24"/>
        </w:rPr>
        <w:t>W+</w:t>
      </w:r>
      <w:r w:rsidR="002240D8" w:rsidRPr="00A02334">
        <w:rPr>
          <w:sz w:val="24"/>
          <w:szCs w:val="24"/>
        </w:rPr>
        <w:t xml:space="preserve"> </w:t>
      </w:r>
      <w:r w:rsidR="002240D8">
        <w:rPr>
          <w:sz w:val="24"/>
          <w:szCs w:val="24"/>
        </w:rPr>
        <w:t>(q-λ)P</w:t>
      </w:r>
      <w:r>
        <w:rPr>
          <w:sz w:val="24"/>
          <w:szCs w:val="24"/>
        </w:rPr>
        <w:t xml:space="preserve">}and the household’s utility in the larger house is </w:t>
      </w:r>
      <w:r w:rsidR="002240D8">
        <w:rPr>
          <w:sz w:val="24"/>
          <w:szCs w:val="24"/>
        </w:rPr>
        <w:t xml:space="preserve"> </w:t>
      </w:r>
    </w:p>
    <w:p w:rsidR="002240D8" w:rsidRDefault="002777D6" w:rsidP="005A255A">
      <w:pPr>
        <w:spacing w:line="480" w:lineRule="auto"/>
        <w:jc w:val="right"/>
        <w:rPr>
          <w:sz w:val="24"/>
          <w:szCs w:val="24"/>
        </w:rPr>
      </w:pPr>
      <w:proofErr w:type="gramStart"/>
      <w:r>
        <w:rPr>
          <w:sz w:val="24"/>
          <w:szCs w:val="24"/>
        </w:rPr>
        <w:t>U(</w:t>
      </w:r>
      <w:proofErr w:type="spellStart"/>
      <w:proofErr w:type="gramEnd"/>
      <w:r>
        <w:rPr>
          <w:sz w:val="24"/>
          <w:szCs w:val="24"/>
        </w:rPr>
        <w:t>c</w:t>
      </w:r>
      <w:r w:rsidR="000D3F20">
        <w:rPr>
          <w:sz w:val="24"/>
          <w:szCs w:val="24"/>
          <w:vertAlign w:val="subscript"/>
        </w:rPr>
        <w:t>N</w:t>
      </w:r>
      <w:proofErr w:type="spellEnd"/>
      <w:r>
        <w:rPr>
          <w:sz w:val="24"/>
          <w:szCs w:val="24"/>
        </w:rPr>
        <w:t>, H</w:t>
      </w:r>
      <w:r>
        <w:rPr>
          <w:sz w:val="24"/>
          <w:szCs w:val="24"/>
          <w:vertAlign w:val="subscript"/>
        </w:rPr>
        <w:t>N</w:t>
      </w:r>
      <w:r>
        <w:rPr>
          <w:sz w:val="24"/>
          <w:szCs w:val="24"/>
        </w:rPr>
        <w:t>)=</w:t>
      </w:r>
      <w:r w:rsidR="002240D8">
        <w:rPr>
          <w:sz w:val="24"/>
          <w:szCs w:val="24"/>
        </w:rPr>
        <w:t>U(</w:t>
      </w:r>
      <w:proofErr w:type="spellStart"/>
      <w:r w:rsidR="002240D8">
        <w:rPr>
          <w:sz w:val="24"/>
          <w:szCs w:val="24"/>
        </w:rPr>
        <w:t>y+rW</w:t>
      </w:r>
      <w:proofErr w:type="spellEnd"/>
      <w:r w:rsidR="002240D8">
        <w:rPr>
          <w:sz w:val="24"/>
          <w:szCs w:val="24"/>
        </w:rPr>
        <w:t>+</w:t>
      </w:r>
      <w:r w:rsidR="002240D8" w:rsidRPr="00A02334">
        <w:rPr>
          <w:sz w:val="24"/>
          <w:szCs w:val="24"/>
        </w:rPr>
        <w:t xml:space="preserve"> </w:t>
      </w:r>
      <w:r w:rsidR="002240D8">
        <w:rPr>
          <w:sz w:val="24"/>
          <w:szCs w:val="24"/>
        </w:rPr>
        <w:t xml:space="preserve">r(q-λ)P, </w:t>
      </w:r>
      <w:r w:rsidR="00177BD7">
        <w:rPr>
          <w:sz w:val="24"/>
          <w:szCs w:val="24"/>
        </w:rPr>
        <w:t>λ</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(3)</w:t>
      </w:r>
      <w:r w:rsidR="002240D8">
        <w:rPr>
          <w:sz w:val="24"/>
          <w:szCs w:val="24"/>
        </w:rPr>
        <w:t xml:space="preserve">  </w:t>
      </w:r>
    </w:p>
    <w:p w:rsidR="000D3F20" w:rsidRDefault="002240D8" w:rsidP="002240D8">
      <w:pPr>
        <w:spacing w:line="480" w:lineRule="auto"/>
        <w:rPr>
          <w:sz w:val="24"/>
          <w:szCs w:val="24"/>
        </w:rPr>
      </w:pPr>
      <w:r>
        <w:rPr>
          <w:sz w:val="24"/>
          <w:szCs w:val="24"/>
        </w:rPr>
        <w:t xml:space="preserve">The household moves if </w:t>
      </w:r>
    </w:p>
    <w:p w:rsidR="000D3F20" w:rsidRDefault="002240D8" w:rsidP="000D3F20">
      <w:pPr>
        <w:spacing w:line="480" w:lineRule="auto"/>
        <w:jc w:val="right"/>
        <w:rPr>
          <w:sz w:val="24"/>
          <w:szCs w:val="24"/>
        </w:rPr>
      </w:pPr>
      <w:r>
        <w:rPr>
          <w:sz w:val="24"/>
          <w:szCs w:val="24"/>
        </w:rPr>
        <w:t>U(</w:t>
      </w:r>
      <w:proofErr w:type="spellStart"/>
      <w:r>
        <w:rPr>
          <w:sz w:val="24"/>
          <w:szCs w:val="24"/>
        </w:rPr>
        <w:t>y+rW</w:t>
      </w:r>
      <w:proofErr w:type="spellEnd"/>
      <w:r>
        <w:rPr>
          <w:sz w:val="24"/>
          <w:szCs w:val="24"/>
        </w:rPr>
        <w:t>+</w:t>
      </w:r>
      <w:r w:rsidRPr="00A02334">
        <w:rPr>
          <w:sz w:val="24"/>
          <w:szCs w:val="24"/>
        </w:rPr>
        <w:t xml:space="preserve"> </w:t>
      </w:r>
      <w:proofErr w:type="gramStart"/>
      <w:r>
        <w:rPr>
          <w:sz w:val="24"/>
          <w:szCs w:val="24"/>
        </w:rPr>
        <w:t>r(</w:t>
      </w:r>
      <w:proofErr w:type="gramEnd"/>
      <w:r>
        <w:rPr>
          <w:sz w:val="24"/>
          <w:szCs w:val="24"/>
        </w:rPr>
        <w:t xml:space="preserve">q-λ)P, </w:t>
      </w:r>
      <w:r w:rsidR="00045297">
        <w:rPr>
          <w:sz w:val="24"/>
          <w:szCs w:val="24"/>
        </w:rPr>
        <w:t>λ</w:t>
      </w:r>
      <w:r>
        <w:rPr>
          <w:sz w:val="24"/>
          <w:szCs w:val="24"/>
        </w:rPr>
        <w:t>) &gt;</w:t>
      </w:r>
      <w:r w:rsidRPr="00A27AA6">
        <w:rPr>
          <w:sz w:val="24"/>
          <w:szCs w:val="24"/>
        </w:rPr>
        <w:t xml:space="preserve"> </w:t>
      </w:r>
      <w:r>
        <w:rPr>
          <w:sz w:val="24"/>
          <w:szCs w:val="24"/>
        </w:rPr>
        <w:t>U(</w:t>
      </w:r>
      <w:r w:rsidR="00767161">
        <w:rPr>
          <w:sz w:val="24"/>
          <w:szCs w:val="24"/>
        </w:rPr>
        <w:t>y+</w:t>
      </w:r>
      <w:r>
        <w:rPr>
          <w:sz w:val="24"/>
          <w:szCs w:val="24"/>
        </w:rPr>
        <w:t>rW-rM</w:t>
      </w:r>
      <w:r>
        <w:rPr>
          <w:sz w:val="24"/>
          <w:szCs w:val="24"/>
          <w:vertAlign w:val="subscript"/>
        </w:rPr>
        <w:t>0</w:t>
      </w:r>
      <w:r>
        <w:rPr>
          <w:sz w:val="24"/>
          <w:szCs w:val="24"/>
        </w:rPr>
        <w:t xml:space="preserve">, </w:t>
      </w:r>
      <w:r w:rsidR="00045297">
        <w:rPr>
          <w:sz w:val="24"/>
          <w:szCs w:val="24"/>
        </w:rPr>
        <w:t>1</w:t>
      </w:r>
      <w:r>
        <w:rPr>
          <w:sz w:val="24"/>
          <w:szCs w:val="24"/>
        </w:rPr>
        <w:t>)</w:t>
      </w:r>
      <w:r w:rsidR="000D3F20">
        <w:rPr>
          <w:sz w:val="24"/>
          <w:szCs w:val="24"/>
        </w:rPr>
        <w:t xml:space="preserve"> </w:t>
      </w:r>
      <w:r w:rsidR="000D3F20">
        <w:rPr>
          <w:sz w:val="24"/>
          <w:szCs w:val="24"/>
        </w:rPr>
        <w:tab/>
      </w:r>
      <w:r w:rsidR="000D3F20">
        <w:rPr>
          <w:sz w:val="24"/>
          <w:szCs w:val="24"/>
        </w:rPr>
        <w:tab/>
      </w:r>
      <w:r w:rsidR="000D3F20">
        <w:rPr>
          <w:sz w:val="24"/>
          <w:szCs w:val="24"/>
        </w:rPr>
        <w:tab/>
      </w:r>
      <w:r w:rsidR="000D3F20">
        <w:rPr>
          <w:sz w:val="24"/>
          <w:szCs w:val="24"/>
        </w:rPr>
        <w:tab/>
        <w:t>(4)</w:t>
      </w:r>
      <w:r>
        <w:rPr>
          <w:sz w:val="24"/>
          <w:szCs w:val="24"/>
        </w:rPr>
        <w:t xml:space="preserve"> </w:t>
      </w:r>
    </w:p>
    <w:p w:rsidR="002240D8" w:rsidRDefault="00D668C7" w:rsidP="002240D8">
      <w:pPr>
        <w:spacing w:line="480" w:lineRule="auto"/>
        <w:rPr>
          <w:sz w:val="24"/>
          <w:szCs w:val="24"/>
        </w:rPr>
      </w:pPr>
      <w:r>
        <w:rPr>
          <w:sz w:val="24"/>
          <w:szCs w:val="24"/>
        </w:rPr>
        <w:t>Because</w:t>
      </w:r>
      <w:r w:rsidR="00177BD7">
        <w:rPr>
          <w:sz w:val="24"/>
          <w:szCs w:val="24"/>
        </w:rPr>
        <w:t xml:space="preserve"> q≤1, </w:t>
      </w:r>
      <w:r w:rsidR="00767161">
        <w:rPr>
          <w:sz w:val="24"/>
          <w:szCs w:val="24"/>
        </w:rPr>
        <w:t xml:space="preserve">q&lt;λ.  </w:t>
      </w:r>
      <w:proofErr w:type="gramStart"/>
      <w:r>
        <w:rPr>
          <w:sz w:val="24"/>
          <w:szCs w:val="24"/>
        </w:rPr>
        <w:t>The m</w:t>
      </w:r>
      <w:r w:rsidR="00B66FDF">
        <w:rPr>
          <w:sz w:val="24"/>
          <w:szCs w:val="24"/>
        </w:rPr>
        <w:t xml:space="preserve">ore ‘upmarket’ the household </w:t>
      </w:r>
      <w:r w:rsidR="00CF25A7">
        <w:rPr>
          <w:sz w:val="24"/>
          <w:szCs w:val="24"/>
        </w:rPr>
        <w:t>aim</w:t>
      </w:r>
      <w:r w:rsidR="00B66FDF">
        <w:rPr>
          <w:sz w:val="24"/>
          <w:szCs w:val="24"/>
        </w:rPr>
        <w:t>s</w:t>
      </w:r>
      <w:r w:rsidR="00CF25A7">
        <w:rPr>
          <w:sz w:val="24"/>
          <w:szCs w:val="24"/>
        </w:rPr>
        <w:t xml:space="preserve"> to move</w:t>
      </w:r>
      <w:r>
        <w:rPr>
          <w:sz w:val="24"/>
          <w:szCs w:val="24"/>
        </w:rPr>
        <w:t>, the higher is λ.</w:t>
      </w:r>
      <w:proofErr w:type="gramEnd"/>
      <w:r>
        <w:rPr>
          <w:sz w:val="24"/>
          <w:szCs w:val="24"/>
        </w:rPr>
        <w:t xml:space="preserve">  </w:t>
      </w:r>
      <w:r w:rsidR="002240D8">
        <w:rPr>
          <w:sz w:val="24"/>
          <w:szCs w:val="24"/>
        </w:rPr>
        <w:t xml:space="preserve">While the </w:t>
      </w:r>
      <w:r w:rsidR="00B87FC2">
        <w:rPr>
          <w:sz w:val="24"/>
          <w:szCs w:val="24"/>
        </w:rPr>
        <w:t>‘</w:t>
      </w:r>
      <w:r w:rsidR="002240D8">
        <w:rPr>
          <w:sz w:val="24"/>
          <w:szCs w:val="24"/>
        </w:rPr>
        <w:t>larger</w:t>
      </w:r>
      <w:r w:rsidR="00B87FC2">
        <w:rPr>
          <w:sz w:val="24"/>
          <w:szCs w:val="24"/>
        </w:rPr>
        <w:t>’</w:t>
      </w:r>
      <w:r w:rsidR="002240D8">
        <w:rPr>
          <w:sz w:val="24"/>
          <w:szCs w:val="24"/>
        </w:rPr>
        <w:t xml:space="preserve"> house increases the household’s utility if it moves, </w:t>
      </w:r>
      <w:r w:rsidR="00767161">
        <w:rPr>
          <w:sz w:val="24"/>
          <w:szCs w:val="24"/>
        </w:rPr>
        <w:t xml:space="preserve">moving </w:t>
      </w:r>
      <w:r w:rsidR="002240D8">
        <w:rPr>
          <w:sz w:val="24"/>
          <w:szCs w:val="24"/>
        </w:rPr>
        <w:t>come</w:t>
      </w:r>
      <w:r w:rsidR="00767161">
        <w:rPr>
          <w:sz w:val="24"/>
          <w:szCs w:val="24"/>
        </w:rPr>
        <w:t>s</w:t>
      </w:r>
      <w:r w:rsidR="002240D8">
        <w:rPr>
          <w:sz w:val="24"/>
          <w:szCs w:val="24"/>
        </w:rPr>
        <w:t xml:space="preserve"> at a sacrifice of other consumption</w:t>
      </w:r>
      <w:r w:rsidR="008E6746">
        <w:rPr>
          <w:sz w:val="24"/>
          <w:szCs w:val="24"/>
        </w:rPr>
        <w:t xml:space="preserve"> if (λ-q</w:t>
      </w:r>
      <w:proofErr w:type="gramStart"/>
      <w:r w:rsidR="008E6746">
        <w:rPr>
          <w:sz w:val="24"/>
          <w:szCs w:val="24"/>
        </w:rPr>
        <w:t>)P</w:t>
      </w:r>
      <w:proofErr w:type="gramEnd"/>
      <w:r w:rsidR="008E6746">
        <w:rPr>
          <w:sz w:val="24"/>
          <w:szCs w:val="24"/>
        </w:rPr>
        <w:t>&gt;M</w:t>
      </w:r>
      <w:r w:rsidR="008E6746">
        <w:rPr>
          <w:sz w:val="24"/>
          <w:szCs w:val="24"/>
          <w:vertAlign w:val="subscript"/>
        </w:rPr>
        <w:t>0</w:t>
      </w:r>
      <w:r w:rsidR="00950B67">
        <w:rPr>
          <w:sz w:val="24"/>
          <w:szCs w:val="24"/>
        </w:rPr>
        <w:t xml:space="preserve">; </w:t>
      </w:r>
      <w:r w:rsidR="002240D8">
        <w:rPr>
          <w:sz w:val="24"/>
          <w:szCs w:val="24"/>
        </w:rPr>
        <w:t>note that the sale of the present house releases some wealth from housing, P-M</w:t>
      </w:r>
      <w:r w:rsidR="002240D8">
        <w:rPr>
          <w:sz w:val="24"/>
          <w:szCs w:val="24"/>
          <w:vertAlign w:val="subscript"/>
        </w:rPr>
        <w:t>0</w:t>
      </w:r>
      <w:r w:rsidR="002240D8">
        <w:rPr>
          <w:sz w:val="24"/>
          <w:szCs w:val="24"/>
        </w:rPr>
        <w:t xml:space="preserve">.  </w:t>
      </w:r>
      <w:r w:rsidR="00767161">
        <w:rPr>
          <w:sz w:val="24"/>
          <w:szCs w:val="24"/>
        </w:rPr>
        <w:t>Because (q-λ</w:t>
      </w:r>
      <w:proofErr w:type="gramStart"/>
      <w:r w:rsidR="00767161">
        <w:rPr>
          <w:sz w:val="24"/>
          <w:szCs w:val="24"/>
        </w:rPr>
        <w:t>)P</w:t>
      </w:r>
      <w:proofErr w:type="gramEnd"/>
      <w:r w:rsidR="00767161">
        <w:rPr>
          <w:sz w:val="24"/>
          <w:szCs w:val="24"/>
        </w:rPr>
        <w:t xml:space="preserve"> only affects utility in the new house, it is clear that the chances of moving increase when (q-λ)P is higher.  </w:t>
      </w:r>
      <w:r w:rsidR="002240D8">
        <w:rPr>
          <w:sz w:val="24"/>
          <w:szCs w:val="24"/>
        </w:rPr>
        <w:t xml:space="preserve">Depending on preferences, some households are more willing to sacrifice </w:t>
      </w:r>
      <w:r w:rsidR="00B87FC2">
        <w:rPr>
          <w:sz w:val="24"/>
          <w:szCs w:val="24"/>
        </w:rPr>
        <w:t xml:space="preserve">other </w:t>
      </w:r>
      <w:r w:rsidR="002240D8">
        <w:rPr>
          <w:sz w:val="24"/>
          <w:szCs w:val="24"/>
        </w:rPr>
        <w:t>consumption for housing than others.  A change in the household circumstances (e.g. the birth of a child, so that H</w:t>
      </w:r>
      <w:r w:rsidR="002240D8">
        <w:rPr>
          <w:sz w:val="24"/>
          <w:szCs w:val="24"/>
          <w:vertAlign w:val="subscript"/>
        </w:rPr>
        <w:t xml:space="preserve">N </w:t>
      </w:r>
      <w:r w:rsidR="002240D8">
        <w:rPr>
          <w:sz w:val="24"/>
          <w:szCs w:val="24"/>
        </w:rPr>
        <w:t xml:space="preserve">would be the ‘more appropriate’ house) might </w:t>
      </w:r>
      <w:r w:rsidR="002240D8">
        <w:rPr>
          <w:sz w:val="24"/>
          <w:szCs w:val="24"/>
        </w:rPr>
        <w:lastRenderedPageBreak/>
        <w:t>alter preferences to put more weight on housing, making them more willing to make the trade-off for the larger house</w:t>
      </w:r>
      <w:r w:rsidR="00C808E1">
        <w:rPr>
          <w:rStyle w:val="FootnoteReference"/>
          <w:sz w:val="24"/>
          <w:szCs w:val="24"/>
        </w:rPr>
        <w:footnoteReference w:id="4"/>
      </w:r>
      <w:r w:rsidR="002240D8">
        <w:rPr>
          <w:sz w:val="24"/>
          <w:szCs w:val="24"/>
        </w:rPr>
        <w:t>.</w:t>
      </w:r>
    </w:p>
    <w:p w:rsidR="002240D8" w:rsidRPr="00CC399A" w:rsidRDefault="002240D8" w:rsidP="002240D8">
      <w:pPr>
        <w:spacing w:line="480" w:lineRule="auto"/>
        <w:rPr>
          <w:i/>
          <w:sz w:val="24"/>
          <w:szCs w:val="24"/>
        </w:rPr>
      </w:pPr>
      <w:r>
        <w:rPr>
          <w:i/>
          <w:sz w:val="24"/>
          <w:szCs w:val="24"/>
        </w:rPr>
        <w:t>Predictions</w:t>
      </w:r>
    </w:p>
    <w:p w:rsidR="00B909C0" w:rsidRDefault="002240D8" w:rsidP="002240D8">
      <w:pPr>
        <w:spacing w:line="480" w:lineRule="auto"/>
        <w:rPr>
          <w:sz w:val="24"/>
          <w:szCs w:val="24"/>
        </w:rPr>
      </w:pPr>
      <w:r>
        <w:rPr>
          <w:sz w:val="24"/>
          <w:szCs w:val="24"/>
        </w:rPr>
        <w:t>Obviously there are many influences on residential movement.  This very simple model does however suggest that a higher housing equity ratio would increase the propensity to move</w:t>
      </w:r>
      <w:r w:rsidR="000D3F20">
        <w:rPr>
          <w:sz w:val="24"/>
          <w:szCs w:val="24"/>
        </w:rPr>
        <w:t>, either through relaxing the down-payment constraint or by increasing fungible wealth</w:t>
      </w:r>
      <w:r>
        <w:rPr>
          <w:sz w:val="24"/>
          <w:szCs w:val="24"/>
        </w:rPr>
        <w:t xml:space="preserve">.  </w:t>
      </w:r>
      <w:r w:rsidR="005529A1">
        <w:rPr>
          <w:sz w:val="24"/>
          <w:szCs w:val="24"/>
        </w:rPr>
        <w:t xml:space="preserve">Distinguishing these two reasons </w:t>
      </w:r>
      <w:r w:rsidR="00F71ECF">
        <w:rPr>
          <w:sz w:val="24"/>
          <w:szCs w:val="24"/>
        </w:rPr>
        <w:t xml:space="preserve">empirically </w:t>
      </w:r>
      <w:r w:rsidR="005529A1">
        <w:rPr>
          <w:sz w:val="24"/>
          <w:szCs w:val="24"/>
        </w:rPr>
        <w:t xml:space="preserve">is difficult, but we would expect the down-payment constraint effect to operate only amongst those households with very low levels of equity. </w:t>
      </w:r>
    </w:p>
    <w:p w:rsidR="002240D8" w:rsidRDefault="00950B67" w:rsidP="00B909C0">
      <w:pPr>
        <w:spacing w:line="480" w:lineRule="auto"/>
        <w:ind w:firstLine="720"/>
        <w:rPr>
          <w:sz w:val="24"/>
          <w:szCs w:val="24"/>
        </w:rPr>
      </w:pPr>
      <w:r>
        <w:rPr>
          <w:sz w:val="24"/>
          <w:szCs w:val="24"/>
        </w:rPr>
        <w:t>For a given q, t</w:t>
      </w:r>
      <w:r w:rsidR="000B1C2C">
        <w:rPr>
          <w:sz w:val="24"/>
          <w:szCs w:val="24"/>
        </w:rPr>
        <w:t xml:space="preserve">he level of </w:t>
      </w:r>
      <w:r w:rsidR="008C0D03">
        <w:rPr>
          <w:sz w:val="24"/>
          <w:szCs w:val="24"/>
        </w:rPr>
        <w:t xml:space="preserve">relative </w:t>
      </w:r>
      <w:r w:rsidR="000B1C2C">
        <w:rPr>
          <w:sz w:val="24"/>
          <w:szCs w:val="24"/>
        </w:rPr>
        <w:t>house prices</w:t>
      </w:r>
      <w:r w:rsidR="000B1C2C" w:rsidRPr="00F71ECF">
        <w:rPr>
          <w:sz w:val="24"/>
          <w:szCs w:val="24"/>
        </w:rPr>
        <w:t xml:space="preserve"> </w:t>
      </w:r>
      <w:r w:rsidR="000B1C2C">
        <w:rPr>
          <w:sz w:val="24"/>
          <w:szCs w:val="24"/>
        </w:rPr>
        <w:t xml:space="preserve">in the market (P) exerts a negative impact on </w:t>
      </w:r>
      <w:r w:rsidR="00B87FC2">
        <w:rPr>
          <w:sz w:val="24"/>
          <w:szCs w:val="24"/>
        </w:rPr>
        <w:t xml:space="preserve">residential </w:t>
      </w:r>
      <w:r w:rsidR="000B1C2C">
        <w:rPr>
          <w:sz w:val="24"/>
          <w:szCs w:val="24"/>
        </w:rPr>
        <w:t>mobility</w:t>
      </w:r>
      <w:r>
        <w:rPr>
          <w:sz w:val="24"/>
          <w:szCs w:val="24"/>
        </w:rPr>
        <w:t xml:space="preserve"> by making it more likely that the down-payment constraint is binding</w:t>
      </w:r>
      <w:r w:rsidR="000B1C2C">
        <w:rPr>
          <w:sz w:val="24"/>
          <w:szCs w:val="24"/>
        </w:rPr>
        <w:t xml:space="preserve">, and </w:t>
      </w:r>
      <w:r w:rsidR="00B87FC2">
        <w:rPr>
          <w:sz w:val="24"/>
          <w:szCs w:val="24"/>
        </w:rPr>
        <w:t>the impact of house prices</w:t>
      </w:r>
      <w:r w:rsidR="000B1C2C">
        <w:rPr>
          <w:sz w:val="24"/>
          <w:szCs w:val="24"/>
        </w:rPr>
        <w:t xml:space="preserve"> </w:t>
      </w:r>
      <w:r w:rsidR="00B87FC2">
        <w:rPr>
          <w:sz w:val="24"/>
          <w:szCs w:val="24"/>
        </w:rPr>
        <w:t xml:space="preserve">on mobility </w:t>
      </w:r>
      <w:r w:rsidR="000B1C2C">
        <w:rPr>
          <w:sz w:val="24"/>
          <w:szCs w:val="24"/>
        </w:rPr>
        <w:t xml:space="preserve">among the unconstrained </w:t>
      </w:r>
      <w:r w:rsidR="00B87FC2">
        <w:rPr>
          <w:sz w:val="24"/>
          <w:szCs w:val="24"/>
        </w:rPr>
        <w:t xml:space="preserve">is also negative </w:t>
      </w:r>
      <w:r w:rsidR="000B1C2C">
        <w:rPr>
          <w:sz w:val="24"/>
          <w:szCs w:val="24"/>
        </w:rPr>
        <w:t>because q&lt;λ.</w:t>
      </w:r>
      <w:r w:rsidR="00B909C0">
        <w:rPr>
          <w:sz w:val="24"/>
          <w:szCs w:val="24"/>
        </w:rPr>
        <w:t xml:space="preserve"> </w:t>
      </w:r>
      <w:r w:rsidR="000B1C2C">
        <w:rPr>
          <w:sz w:val="24"/>
          <w:szCs w:val="24"/>
        </w:rPr>
        <w:t xml:space="preserve"> The latter</w:t>
      </w:r>
      <w:r w:rsidR="00B909C0">
        <w:rPr>
          <w:sz w:val="24"/>
          <w:szCs w:val="24"/>
        </w:rPr>
        <w:t xml:space="preserve"> </w:t>
      </w:r>
      <w:r w:rsidR="00B87FC2">
        <w:rPr>
          <w:sz w:val="24"/>
          <w:szCs w:val="24"/>
        </w:rPr>
        <w:t>relationship reflects the fact that it</w:t>
      </w:r>
      <w:r w:rsidR="00B909C0">
        <w:rPr>
          <w:sz w:val="24"/>
          <w:szCs w:val="24"/>
        </w:rPr>
        <w:t xml:space="preserve"> is more expensive to move up-market (more other consumption must be foregone) in a housing market in which house prices are higher.  Changes in nominal house prices over time </w:t>
      </w:r>
      <w:r w:rsidR="00B87FC2">
        <w:rPr>
          <w:sz w:val="24"/>
          <w:szCs w:val="24"/>
        </w:rPr>
        <w:t xml:space="preserve">affect </w:t>
      </w:r>
      <w:r w:rsidR="00B909C0">
        <w:rPr>
          <w:sz w:val="24"/>
          <w:szCs w:val="24"/>
        </w:rPr>
        <w:t xml:space="preserve">q and </w:t>
      </w:r>
      <w:r w:rsidR="00B87FC2">
        <w:rPr>
          <w:sz w:val="24"/>
          <w:szCs w:val="24"/>
        </w:rPr>
        <w:t xml:space="preserve">may affect </w:t>
      </w:r>
      <w:r w:rsidR="00B909C0">
        <w:rPr>
          <w:sz w:val="24"/>
          <w:szCs w:val="24"/>
        </w:rPr>
        <w:t xml:space="preserve">P.  If nominal house prices increase purely because of general inflation, q </w:t>
      </w:r>
      <w:r w:rsidR="009E66E3">
        <w:rPr>
          <w:sz w:val="24"/>
          <w:szCs w:val="24"/>
        </w:rPr>
        <w:t>rises</w:t>
      </w:r>
      <w:r w:rsidR="00B909C0">
        <w:rPr>
          <w:sz w:val="24"/>
          <w:szCs w:val="24"/>
        </w:rPr>
        <w:t xml:space="preserve"> because mortgages are </w:t>
      </w:r>
      <w:r w:rsidR="001950A7">
        <w:rPr>
          <w:sz w:val="24"/>
          <w:szCs w:val="24"/>
        </w:rPr>
        <w:t xml:space="preserve">written in nominal terms, but the relative price of housing (P) remains </w:t>
      </w:r>
      <w:r w:rsidR="007A4727">
        <w:rPr>
          <w:sz w:val="24"/>
          <w:szCs w:val="24"/>
        </w:rPr>
        <w:t>constant</w:t>
      </w:r>
      <w:r w:rsidR="001950A7">
        <w:rPr>
          <w:sz w:val="24"/>
          <w:szCs w:val="24"/>
        </w:rPr>
        <w:t xml:space="preserve">.  An increase in relative house prices over time </w:t>
      </w:r>
      <w:r w:rsidR="009E66E3">
        <w:rPr>
          <w:sz w:val="24"/>
          <w:szCs w:val="24"/>
        </w:rPr>
        <w:t>raises</w:t>
      </w:r>
      <w:r w:rsidR="001950A7">
        <w:rPr>
          <w:sz w:val="24"/>
          <w:szCs w:val="24"/>
        </w:rPr>
        <w:t xml:space="preserve"> q and increases P, producing offsetting effects on mobility.</w:t>
      </w:r>
      <w:r w:rsidR="001950A7">
        <w:rPr>
          <w:rStyle w:val="FootnoteReference"/>
          <w:sz w:val="24"/>
          <w:szCs w:val="24"/>
        </w:rPr>
        <w:footnoteReference w:id="5"/>
      </w:r>
      <w:r w:rsidR="001950A7">
        <w:rPr>
          <w:sz w:val="24"/>
          <w:szCs w:val="24"/>
        </w:rPr>
        <w:t xml:space="preserve">  </w:t>
      </w:r>
      <w:r w:rsidR="002240D8">
        <w:rPr>
          <w:sz w:val="24"/>
          <w:szCs w:val="24"/>
        </w:rPr>
        <w:t xml:space="preserve">The model also suggests that the size of the positive impact of the equity ratio on consumption is increasing in the level of house prices.   </w:t>
      </w:r>
    </w:p>
    <w:p w:rsidR="00634DD2" w:rsidRDefault="00634DD2" w:rsidP="002240D8">
      <w:pPr>
        <w:spacing w:line="480" w:lineRule="auto"/>
        <w:rPr>
          <w:sz w:val="24"/>
          <w:szCs w:val="24"/>
        </w:rPr>
      </w:pPr>
      <w:r>
        <w:rPr>
          <w:sz w:val="24"/>
          <w:szCs w:val="24"/>
        </w:rPr>
        <w:lastRenderedPageBreak/>
        <w:tab/>
        <w:t>The analysis above has not considered the stimulating impact of mortgage default on mobility, which would be more likely f</w:t>
      </w:r>
      <w:r w:rsidR="003710C4">
        <w:rPr>
          <w:sz w:val="24"/>
          <w:szCs w:val="24"/>
        </w:rPr>
        <w:t>or households with low values of</w:t>
      </w:r>
      <w:r>
        <w:rPr>
          <w:sz w:val="24"/>
          <w:szCs w:val="24"/>
        </w:rPr>
        <w:t xml:space="preserve"> equity.  Default has been relatively low in </w:t>
      </w:r>
      <w:smartTag w:uri="urn:schemas-microsoft-com:office:smarttags" w:element="country-region">
        <w:smartTag w:uri="urn:schemas-microsoft-com:office:smarttags" w:element="place">
          <w:r>
            <w:rPr>
              <w:sz w:val="24"/>
              <w:szCs w:val="24"/>
            </w:rPr>
            <w:t>Britain</w:t>
          </w:r>
        </w:smartTag>
      </w:smartTag>
      <w:r>
        <w:rPr>
          <w:sz w:val="24"/>
          <w:szCs w:val="24"/>
        </w:rPr>
        <w:t>, but it is possible that for some households it is default that causes movement.  Their existence tends to understate the impact of equity through the two other channels discussed above.</w:t>
      </w:r>
    </w:p>
    <w:p w:rsidR="002240D8" w:rsidRDefault="002240D8" w:rsidP="002240D8">
      <w:pPr>
        <w:rPr>
          <w:sz w:val="24"/>
          <w:szCs w:val="24"/>
        </w:rPr>
      </w:pPr>
    </w:p>
    <w:p w:rsidR="00B62356" w:rsidRDefault="00B62356" w:rsidP="00B62356">
      <w:pPr>
        <w:spacing w:line="480" w:lineRule="auto"/>
        <w:rPr>
          <w:sz w:val="24"/>
          <w:szCs w:val="24"/>
          <w:u w:val="single"/>
        </w:rPr>
      </w:pPr>
      <w:r w:rsidRPr="00B62356">
        <w:rPr>
          <w:sz w:val="24"/>
          <w:szCs w:val="24"/>
          <w:u w:val="single"/>
        </w:rPr>
        <w:t>Empirical analysis</w:t>
      </w:r>
    </w:p>
    <w:p w:rsidR="002272F4" w:rsidRDefault="002272F4" w:rsidP="00B62356">
      <w:pPr>
        <w:spacing w:line="480" w:lineRule="auto"/>
        <w:rPr>
          <w:sz w:val="24"/>
          <w:szCs w:val="24"/>
        </w:rPr>
      </w:pPr>
      <w:r>
        <w:rPr>
          <w:sz w:val="24"/>
          <w:szCs w:val="24"/>
        </w:rPr>
        <w:t xml:space="preserve">Our data is from the </w:t>
      </w:r>
      <w:r w:rsidR="00DE234E">
        <w:rPr>
          <w:sz w:val="24"/>
          <w:szCs w:val="24"/>
        </w:rPr>
        <w:t>British Household Panel Study</w:t>
      </w:r>
      <w:r w:rsidR="00A8762E">
        <w:rPr>
          <w:sz w:val="24"/>
          <w:szCs w:val="24"/>
        </w:rPr>
        <w:t xml:space="preserve"> (BHPS)</w:t>
      </w:r>
      <w:r w:rsidR="00DE234E">
        <w:rPr>
          <w:sz w:val="24"/>
          <w:szCs w:val="24"/>
        </w:rPr>
        <w:t xml:space="preserve">, </w:t>
      </w:r>
      <w:r w:rsidR="00B21C42">
        <w:rPr>
          <w:sz w:val="24"/>
          <w:szCs w:val="24"/>
        </w:rPr>
        <w:t>which interviewed people annual</w:t>
      </w:r>
      <w:r w:rsidR="005B3429">
        <w:rPr>
          <w:sz w:val="24"/>
          <w:szCs w:val="24"/>
        </w:rPr>
        <w:t>ly</w:t>
      </w:r>
      <w:r w:rsidR="00B21C42">
        <w:rPr>
          <w:sz w:val="24"/>
          <w:szCs w:val="24"/>
        </w:rPr>
        <w:t xml:space="preserve"> from </w:t>
      </w:r>
      <w:r w:rsidR="00DE234E">
        <w:rPr>
          <w:sz w:val="24"/>
          <w:szCs w:val="24"/>
        </w:rPr>
        <w:t>1991-2008</w:t>
      </w:r>
      <w:r w:rsidR="00B21C42">
        <w:rPr>
          <w:sz w:val="24"/>
          <w:szCs w:val="24"/>
        </w:rPr>
        <w:t xml:space="preserve"> (see </w:t>
      </w:r>
      <w:r w:rsidR="00EC0E7F" w:rsidRPr="003710C4">
        <w:rPr>
          <w:sz w:val="24"/>
          <w:szCs w:val="24"/>
          <w:u w:val="single"/>
        </w:rPr>
        <w:t>www.iser.essex.ac.uk/</w:t>
      </w:r>
      <w:r w:rsidR="00EC0E7F" w:rsidRPr="003710C4">
        <w:rPr>
          <w:bCs/>
          <w:sz w:val="24"/>
          <w:szCs w:val="24"/>
          <w:u w:val="single"/>
        </w:rPr>
        <w:t>bhps/documentation</w:t>
      </w:r>
      <w:r w:rsidR="00B21C42">
        <w:rPr>
          <w:sz w:val="24"/>
          <w:szCs w:val="24"/>
        </w:rPr>
        <w:t>)</w:t>
      </w:r>
      <w:r w:rsidR="00DE234E">
        <w:rPr>
          <w:sz w:val="24"/>
          <w:szCs w:val="24"/>
        </w:rPr>
        <w:t xml:space="preserve">.  </w:t>
      </w:r>
      <w:r w:rsidR="00A949C1">
        <w:rPr>
          <w:sz w:val="24"/>
          <w:szCs w:val="24"/>
        </w:rPr>
        <w:t xml:space="preserve">In addition to the </w:t>
      </w:r>
      <w:r w:rsidR="008C0D03">
        <w:rPr>
          <w:sz w:val="24"/>
          <w:szCs w:val="24"/>
        </w:rPr>
        <w:t>housing equity and relative house price</w:t>
      </w:r>
      <w:r w:rsidR="00A949C1">
        <w:rPr>
          <w:sz w:val="24"/>
          <w:szCs w:val="24"/>
        </w:rPr>
        <w:t xml:space="preserve"> variables, these data provide other mobility relevant characteristics, such as the person’s age, number of children of particular ages in the househo</w:t>
      </w:r>
      <w:r w:rsidR="000663A0">
        <w:rPr>
          <w:sz w:val="24"/>
          <w:szCs w:val="24"/>
        </w:rPr>
        <w:t>ld in the previous year</w:t>
      </w:r>
      <w:r w:rsidR="00A949C1">
        <w:rPr>
          <w:sz w:val="24"/>
          <w:szCs w:val="24"/>
        </w:rPr>
        <w:t xml:space="preserve">, whether or not the </w:t>
      </w:r>
      <w:r w:rsidR="00914CD9">
        <w:rPr>
          <w:sz w:val="24"/>
          <w:szCs w:val="24"/>
        </w:rPr>
        <w:t xml:space="preserve">person </w:t>
      </w:r>
      <w:r w:rsidR="00A949C1">
        <w:rPr>
          <w:sz w:val="24"/>
          <w:szCs w:val="24"/>
        </w:rPr>
        <w:t>has a partner, real monthly household income in the previou</w:t>
      </w:r>
      <w:r w:rsidR="000663A0">
        <w:rPr>
          <w:sz w:val="24"/>
          <w:szCs w:val="24"/>
        </w:rPr>
        <w:t>s year</w:t>
      </w:r>
      <w:r w:rsidR="00DD1E28">
        <w:rPr>
          <w:sz w:val="24"/>
          <w:szCs w:val="24"/>
        </w:rPr>
        <w:t>, change in household income, change in household size</w:t>
      </w:r>
      <w:r w:rsidR="00A949C1">
        <w:rPr>
          <w:sz w:val="24"/>
          <w:szCs w:val="24"/>
        </w:rPr>
        <w:t xml:space="preserve"> and (importantly) tenure in cur</w:t>
      </w:r>
      <w:r w:rsidR="000663A0">
        <w:rPr>
          <w:sz w:val="24"/>
          <w:szCs w:val="24"/>
        </w:rPr>
        <w:t>rent residence</w:t>
      </w:r>
      <w:r w:rsidR="00A949C1">
        <w:rPr>
          <w:sz w:val="24"/>
          <w:szCs w:val="24"/>
        </w:rPr>
        <w:t xml:space="preserve">.  </w:t>
      </w:r>
      <w:r w:rsidR="00DD1E28">
        <w:rPr>
          <w:sz w:val="24"/>
          <w:szCs w:val="24"/>
        </w:rPr>
        <w:t>All of these variables are measured in year t-1 for the analysis of moves between year t-1 and year t.</w:t>
      </w:r>
      <w:r w:rsidR="009F5A29">
        <w:rPr>
          <w:sz w:val="24"/>
          <w:szCs w:val="24"/>
        </w:rPr>
        <w:t xml:space="preserve">  </w:t>
      </w:r>
      <w:r w:rsidR="00E96236">
        <w:rPr>
          <w:sz w:val="24"/>
          <w:szCs w:val="24"/>
        </w:rPr>
        <w:t xml:space="preserve">The </w:t>
      </w:r>
      <w:r w:rsidR="00B476AD">
        <w:rPr>
          <w:sz w:val="24"/>
          <w:szCs w:val="24"/>
        </w:rPr>
        <w:t xml:space="preserve">‘change </w:t>
      </w:r>
      <w:r w:rsidR="00E96236">
        <w:rPr>
          <w:sz w:val="24"/>
          <w:szCs w:val="24"/>
        </w:rPr>
        <w:t>variables</w:t>
      </w:r>
      <w:r w:rsidR="00B476AD">
        <w:rPr>
          <w:sz w:val="24"/>
          <w:szCs w:val="24"/>
        </w:rPr>
        <w:t>’</w:t>
      </w:r>
      <w:r w:rsidR="00E96236">
        <w:rPr>
          <w:sz w:val="24"/>
          <w:szCs w:val="24"/>
        </w:rPr>
        <w:t xml:space="preserve"> are meant to capture possible ‘triggering events’ </w:t>
      </w:r>
      <w:r w:rsidR="00E96236" w:rsidRPr="00E96236">
        <w:rPr>
          <w:sz w:val="24"/>
          <w:szCs w:val="24"/>
        </w:rPr>
        <w:t xml:space="preserve">(allowing for asymmetric effects).  We do not include contemporaneous changes in family status, such as divorce and childbearing, because we believe these to be endogenous processes, and these may indeed by influenced by housing equity.  </w:t>
      </w:r>
      <w:r w:rsidR="009F5A29">
        <w:rPr>
          <w:sz w:val="24"/>
          <w:szCs w:val="24"/>
        </w:rPr>
        <w:t>Unfortunately we do not have a measure for the household’s financial wealth on an annual basis</w:t>
      </w:r>
      <w:r w:rsidR="00CF25A7">
        <w:rPr>
          <w:sz w:val="24"/>
          <w:szCs w:val="24"/>
        </w:rPr>
        <w:t>, but we check for correlation between changes in net financial wealth and change in the equity ratio between two years in which we have wealth data</w:t>
      </w:r>
      <w:r w:rsidR="009F5A29">
        <w:rPr>
          <w:sz w:val="24"/>
          <w:szCs w:val="24"/>
        </w:rPr>
        <w:t>.</w:t>
      </w:r>
    </w:p>
    <w:p w:rsidR="004665B7" w:rsidRPr="003710C4" w:rsidRDefault="000663A0" w:rsidP="00B62356">
      <w:pPr>
        <w:spacing w:line="480" w:lineRule="auto"/>
        <w:rPr>
          <w:sz w:val="24"/>
          <w:szCs w:val="24"/>
        </w:rPr>
      </w:pPr>
      <w:r>
        <w:rPr>
          <w:sz w:val="24"/>
          <w:szCs w:val="24"/>
        </w:rPr>
        <w:tab/>
        <w:t xml:space="preserve">We also allow for a fixed effect on residential mobility, which captures persistent </w:t>
      </w:r>
      <w:r w:rsidR="008740CE">
        <w:rPr>
          <w:sz w:val="24"/>
          <w:szCs w:val="24"/>
        </w:rPr>
        <w:t xml:space="preserve">unobserved </w:t>
      </w:r>
      <w:r>
        <w:rPr>
          <w:sz w:val="24"/>
          <w:szCs w:val="24"/>
        </w:rPr>
        <w:t xml:space="preserve">influences on mobility, including long-term </w:t>
      </w:r>
      <w:r w:rsidR="004665B7">
        <w:rPr>
          <w:sz w:val="24"/>
          <w:szCs w:val="24"/>
        </w:rPr>
        <w:t xml:space="preserve">indicators of the level of wealth, </w:t>
      </w:r>
      <w:r w:rsidR="00A21580">
        <w:rPr>
          <w:sz w:val="24"/>
          <w:szCs w:val="24"/>
        </w:rPr>
        <w:t xml:space="preserve">income </w:t>
      </w:r>
      <w:r>
        <w:rPr>
          <w:sz w:val="24"/>
          <w:szCs w:val="24"/>
        </w:rPr>
        <w:t xml:space="preserve">and preferences.  </w:t>
      </w:r>
      <w:r w:rsidR="00A21580">
        <w:rPr>
          <w:sz w:val="24"/>
          <w:szCs w:val="24"/>
        </w:rPr>
        <w:t xml:space="preserve">That is, we use within-person variation to </w:t>
      </w:r>
      <w:r w:rsidR="00A21580">
        <w:rPr>
          <w:sz w:val="24"/>
          <w:szCs w:val="24"/>
        </w:rPr>
        <w:lastRenderedPageBreak/>
        <w:t xml:space="preserve">estimate the </w:t>
      </w:r>
      <w:r w:rsidR="008740CE">
        <w:rPr>
          <w:sz w:val="24"/>
          <w:szCs w:val="24"/>
        </w:rPr>
        <w:t>impact</w:t>
      </w:r>
      <w:r w:rsidR="008C0D03">
        <w:rPr>
          <w:sz w:val="24"/>
          <w:szCs w:val="24"/>
        </w:rPr>
        <w:t>s</w:t>
      </w:r>
      <w:r w:rsidR="008740CE">
        <w:rPr>
          <w:sz w:val="24"/>
          <w:szCs w:val="24"/>
        </w:rPr>
        <w:t xml:space="preserve"> of </w:t>
      </w:r>
      <w:r w:rsidR="008C0D03">
        <w:rPr>
          <w:sz w:val="24"/>
          <w:szCs w:val="24"/>
        </w:rPr>
        <w:t>the explanatory variables</w:t>
      </w:r>
      <w:r w:rsidR="004665B7">
        <w:rPr>
          <w:sz w:val="24"/>
          <w:szCs w:val="24"/>
        </w:rPr>
        <w:t xml:space="preserve"> on mobility.</w:t>
      </w:r>
      <w:r w:rsidR="008740CE">
        <w:rPr>
          <w:sz w:val="24"/>
          <w:szCs w:val="24"/>
        </w:rPr>
        <w:t xml:space="preserve">  </w:t>
      </w:r>
      <w:r>
        <w:rPr>
          <w:sz w:val="24"/>
          <w:szCs w:val="24"/>
        </w:rPr>
        <w:t>We can</w:t>
      </w:r>
      <w:r w:rsidR="008740CE">
        <w:rPr>
          <w:sz w:val="24"/>
          <w:szCs w:val="24"/>
        </w:rPr>
        <w:t xml:space="preserve"> identify these parameters from multiple moves by some people.  This is an advance on</w:t>
      </w:r>
      <w:r>
        <w:rPr>
          <w:sz w:val="24"/>
          <w:szCs w:val="24"/>
        </w:rPr>
        <w:t xml:space="preserve"> </w:t>
      </w:r>
      <w:r w:rsidR="00914CD9">
        <w:rPr>
          <w:sz w:val="24"/>
          <w:szCs w:val="24"/>
        </w:rPr>
        <w:t>previous</w:t>
      </w:r>
      <w:r>
        <w:rPr>
          <w:sz w:val="24"/>
          <w:szCs w:val="24"/>
        </w:rPr>
        <w:t xml:space="preserve"> studies</w:t>
      </w:r>
      <w:r w:rsidR="008740CE">
        <w:rPr>
          <w:sz w:val="24"/>
          <w:szCs w:val="24"/>
        </w:rPr>
        <w:t>, which rely on cross-person variation</w:t>
      </w:r>
      <w:r w:rsidR="00634DD2">
        <w:rPr>
          <w:sz w:val="24"/>
          <w:szCs w:val="24"/>
        </w:rPr>
        <w:t xml:space="preserve">, and we show below that allowing for fixed effects is important; </w:t>
      </w:r>
      <w:r w:rsidR="008C0D03">
        <w:rPr>
          <w:sz w:val="24"/>
          <w:szCs w:val="24"/>
        </w:rPr>
        <w:t xml:space="preserve">in particular, </w:t>
      </w:r>
      <w:r w:rsidR="00634DD2">
        <w:rPr>
          <w:sz w:val="24"/>
          <w:szCs w:val="24"/>
        </w:rPr>
        <w:t>ignoring them strongly biases the estimated impact</w:t>
      </w:r>
      <w:r w:rsidR="008C0D03">
        <w:rPr>
          <w:sz w:val="24"/>
          <w:szCs w:val="24"/>
        </w:rPr>
        <w:t>s</w:t>
      </w:r>
      <w:r w:rsidR="00634DD2">
        <w:rPr>
          <w:sz w:val="24"/>
          <w:szCs w:val="24"/>
        </w:rPr>
        <w:t xml:space="preserve"> </w:t>
      </w:r>
      <w:r w:rsidR="002A34F7">
        <w:rPr>
          <w:sz w:val="24"/>
          <w:szCs w:val="24"/>
        </w:rPr>
        <w:t xml:space="preserve">of housing equity </w:t>
      </w:r>
      <w:r w:rsidR="008C0D03">
        <w:rPr>
          <w:sz w:val="24"/>
          <w:szCs w:val="24"/>
        </w:rPr>
        <w:t xml:space="preserve">and the relative house price </w:t>
      </w:r>
      <w:r w:rsidR="00634DD2">
        <w:rPr>
          <w:sz w:val="24"/>
          <w:szCs w:val="24"/>
        </w:rPr>
        <w:t>toward zero</w:t>
      </w:r>
      <w:r w:rsidR="008740CE">
        <w:rPr>
          <w:sz w:val="24"/>
          <w:szCs w:val="24"/>
        </w:rPr>
        <w:t>.</w:t>
      </w:r>
    </w:p>
    <w:p w:rsidR="00914CD9" w:rsidRDefault="00B62356" w:rsidP="00B62356">
      <w:pPr>
        <w:spacing w:line="480" w:lineRule="auto"/>
        <w:rPr>
          <w:i/>
          <w:sz w:val="24"/>
          <w:szCs w:val="24"/>
        </w:rPr>
      </w:pPr>
      <w:r w:rsidRPr="00B62356">
        <w:rPr>
          <w:i/>
          <w:sz w:val="24"/>
          <w:szCs w:val="24"/>
        </w:rPr>
        <w:t>Measurement of ‘housing equity’</w:t>
      </w:r>
    </w:p>
    <w:p w:rsidR="009B67BF" w:rsidRPr="00914CD9" w:rsidRDefault="00914CD9" w:rsidP="00B62356">
      <w:pPr>
        <w:spacing w:line="480" w:lineRule="auto"/>
        <w:rPr>
          <w:i/>
          <w:sz w:val="24"/>
          <w:szCs w:val="24"/>
        </w:rPr>
      </w:pPr>
      <w:r>
        <w:rPr>
          <w:sz w:val="24"/>
          <w:szCs w:val="24"/>
        </w:rPr>
        <w:t>T</w:t>
      </w:r>
      <w:r w:rsidR="00B62356" w:rsidRPr="00B62356">
        <w:rPr>
          <w:sz w:val="24"/>
          <w:szCs w:val="24"/>
        </w:rPr>
        <w:t xml:space="preserve">he household’s equity in their house is measured as the homeowner’s estimated </w:t>
      </w:r>
      <w:r w:rsidR="00FA680C">
        <w:rPr>
          <w:sz w:val="24"/>
          <w:szCs w:val="24"/>
        </w:rPr>
        <w:t xml:space="preserve">current </w:t>
      </w:r>
      <w:r w:rsidR="00B62356" w:rsidRPr="00B62356">
        <w:rPr>
          <w:sz w:val="24"/>
          <w:szCs w:val="24"/>
        </w:rPr>
        <w:t>value of their property (</w:t>
      </w:r>
      <w:proofErr w:type="spellStart"/>
      <w:r w:rsidR="00B62356" w:rsidRPr="00B62356">
        <w:rPr>
          <w:sz w:val="24"/>
          <w:szCs w:val="24"/>
        </w:rPr>
        <w:t>wHSVAL</w:t>
      </w:r>
      <w:proofErr w:type="spellEnd"/>
      <w:r w:rsidR="00B62356" w:rsidRPr="00B62356">
        <w:rPr>
          <w:sz w:val="24"/>
          <w:szCs w:val="24"/>
        </w:rPr>
        <w:t>) minus the total mortgage on all property (</w:t>
      </w:r>
      <w:proofErr w:type="spellStart"/>
      <w:r w:rsidR="00B62356" w:rsidRPr="00B62356">
        <w:rPr>
          <w:sz w:val="24"/>
          <w:szCs w:val="24"/>
        </w:rPr>
        <w:t>wMGTOT</w:t>
      </w:r>
      <w:proofErr w:type="spellEnd"/>
      <w:r w:rsidR="00B62356" w:rsidRPr="00B62356">
        <w:rPr>
          <w:sz w:val="24"/>
          <w:szCs w:val="24"/>
        </w:rPr>
        <w:t>)</w:t>
      </w:r>
      <w:r>
        <w:rPr>
          <w:sz w:val="24"/>
          <w:szCs w:val="24"/>
        </w:rPr>
        <w:t xml:space="preserve"> (names in parentheses are BHPS variable names)</w:t>
      </w:r>
      <w:r w:rsidR="00B62356" w:rsidRPr="00B62356">
        <w:rPr>
          <w:sz w:val="24"/>
          <w:szCs w:val="24"/>
        </w:rPr>
        <w:t>.  Because the former applies to their residence a</w:t>
      </w:r>
      <w:r w:rsidR="00FA680C">
        <w:rPr>
          <w:sz w:val="24"/>
          <w:szCs w:val="24"/>
        </w:rPr>
        <w:t>nd the latter to all property, we</w:t>
      </w:r>
      <w:r w:rsidR="00B62356" w:rsidRPr="00B62356">
        <w:rPr>
          <w:sz w:val="24"/>
          <w:szCs w:val="24"/>
        </w:rPr>
        <w:t xml:space="preserve"> confine the calculation </w:t>
      </w:r>
      <w:r w:rsidR="00FA680C">
        <w:rPr>
          <w:sz w:val="24"/>
          <w:szCs w:val="24"/>
        </w:rPr>
        <w:t xml:space="preserve">and the analysis </w:t>
      </w:r>
      <w:r w:rsidR="00B62356" w:rsidRPr="00B62356">
        <w:rPr>
          <w:sz w:val="24"/>
          <w:szCs w:val="24"/>
        </w:rPr>
        <w:t xml:space="preserve">to homeowners with a mortgage who only own </w:t>
      </w:r>
      <w:r>
        <w:rPr>
          <w:sz w:val="24"/>
          <w:szCs w:val="24"/>
        </w:rPr>
        <w:t>one property (wHS2OWND==2) and we</w:t>
      </w:r>
      <w:r w:rsidR="00B62356" w:rsidRPr="00B62356">
        <w:rPr>
          <w:sz w:val="24"/>
          <w:szCs w:val="24"/>
        </w:rPr>
        <w:t xml:space="preserve"> exclude people living with their parents.  The equity ratio </w:t>
      </w:r>
      <w:r w:rsidRPr="00B62356">
        <w:rPr>
          <w:sz w:val="24"/>
          <w:szCs w:val="24"/>
        </w:rPr>
        <w:t>(</w:t>
      </w:r>
      <w:r>
        <w:rPr>
          <w:sz w:val="24"/>
          <w:szCs w:val="24"/>
        </w:rPr>
        <w:t xml:space="preserve">q in the theoretical model) </w:t>
      </w:r>
      <w:r w:rsidR="00B62356" w:rsidRPr="00B62356">
        <w:rPr>
          <w:sz w:val="24"/>
          <w:szCs w:val="24"/>
        </w:rPr>
        <w:t xml:space="preserve">is the ratio of this measure of equity to </w:t>
      </w:r>
      <w:proofErr w:type="spellStart"/>
      <w:r w:rsidR="00B62356" w:rsidRPr="00B62356">
        <w:rPr>
          <w:sz w:val="24"/>
          <w:szCs w:val="24"/>
        </w:rPr>
        <w:t>wHSVAL</w:t>
      </w:r>
      <w:proofErr w:type="spellEnd"/>
      <w:r w:rsidR="00B62356" w:rsidRPr="00B62356">
        <w:rPr>
          <w:sz w:val="24"/>
          <w:szCs w:val="24"/>
        </w:rPr>
        <w:t xml:space="preserve">.  </w:t>
      </w:r>
      <w:r w:rsidR="00FA680C">
        <w:rPr>
          <w:sz w:val="24"/>
          <w:szCs w:val="24"/>
        </w:rPr>
        <w:t>We also know the time of purchase, the value of the house and the mortgage value at that time</w:t>
      </w:r>
      <w:r w:rsidR="00B21C42">
        <w:rPr>
          <w:sz w:val="24"/>
          <w:szCs w:val="24"/>
        </w:rPr>
        <w:t xml:space="preserve"> (information collected in the first interview after the purchase</w:t>
      </w:r>
      <w:r w:rsidR="007F153B">
        <w:rPr>
          <w:sz w:val="24"/>
          <w:szCs w:val="24"/>
        </w:rPr>
        <w:t xml:space="preserve"> for those who purchased during the panel</w:t>
      </w:r>
      <w:r w:rsidR="00B21C42">
        <w:rPr>
          <w:sz w:val="24"/>
          <w:szCs w:val="24"/>
        </w:rPr>
        <w:t>)</w:t>
      </w:r>
      <w:r w:rsidR="00FA680C">
        <w:rPr>
          <w:sz w:val="24"/>
          <w:szCs w:val="24"/>
        </w:rPr>
        <w:t xml:space="preserve">, </w:t>
      </w:r>
      <w:r w:rsidR="00BA1CB1">
        <w:rPr>
          <w:sz w:val="24"/>
          <w:szCs w:val="24"/>
        </w:rPr>
        <w:t xml:space="preserve">as well as the type </w:t>
      </w:r>
      <w:r w:rsidR="00B21C42">
        <w:rPr>
          <w:sz w:val="24"/>
          <w:szCs w:val="24"/>
        </w:rPr>
        <w:t>of dwelling (e.g. detached</w:t>
      </w:r>
      <w:r w:rsidR="00BA1CB1">
        <w:rPr>
          <w:sz w:val="24"/>
          <w:szCs w:val="24"/>
        </w:rPr>
        <w:t>, terraced house, etc.)</w:t>
      </w:r>
      <w:r w:rsidR="00FA680C">
        <w:rPr>
          <w:sz w:val="24"/>
          <w:szCs w:val="24"/>
        </w:rPr>
        <w:t xml:space="preserve">. </w:t>
      </w:r>
      <w:r w:rsidR="00B21C42">
        <w:rPr>
          <w:sz w:val="24"/>
          <w:szCs w:val="24"/>
        </w:rPr>
        <w:t xml:space="preserve"> </w:t>
      </w:r>
    </w:p>
    <w:p w:rsidR="002A34F7" w:rsidRDefault="005816DD" w:rsidP="000A7034">
      <w:pPr>
        <w:spacing w:line="480" w:lineRule="auto"/>
        <w:ind w:firstLine="720"/>
        <w:rPr>
          <w:sz w:val="24"/>
          <w:szCs w:val="24"/>
        </w:rPr>
      </w:pPr>
      <w:r>
        <w:rPr>
          <w:sz w:val="24"/>
          <w:szCs w:val="24"/>
        </w:rPr>
        <w:t>There may be measurement errors in self-reported home values.  We use</w:t>
      </w:r>
      <w:r w:rsidR="00FA680C">
        <w:rPr>
          <w:sz w:val="24"/>
          <w:szCs w:val="24"/>
        </w:rPr>
        <w:t xml:space="preserve"> </w:t>
      </w:r>
      <w:r w:rsidR="00BA1CB1">
        <w:rPr>
          <w:sz w:val="24"/>
          <w:szCs w:val="24"/>
        </w:rPr>
        <w:t xml:space="preserve">the </w:t>
      </w:r>
      <w:r w:rsidR="0040423B">
        <w:rPr>
          <w:sz w:val="24"/>
          <w:szCs w:val="24"/>
        </w:rPr>
        <w:t>sales volume</w:t>
      </w:r>
      <w:r w:rsidR="00FA680C">
        <w:rPr>
          <w:sz w:val="24"/>
          <w:szCs w:val="24"/>
        </w:rPr>
        <w:t xml:space="preserve"> in </w:t>
      </w:r>
      <w:r w:rsidR="00BA1CB1">
        <w:rPr>
          <w:sz w:val="24"/>
          <w:szCs w:val="24"/>
        </w:rPr>
        <w:t>the household’s local authority</w:t>
      </w:r>
      <w:r w:rsidR="00FA680C">
        <w:rPr>
          <w:sz w:val="24"/>
          <w:szCs w:val="24"/>
        </w:rPr>
        <w:t xml:space="preserve"> </w:t>
      </w:r>
      <w:r w:rsidR="0040423B">
        <w:rPr>
          <w:sz w:val="24"/>
          <w:szCs w:val="24"/>
        </w:rPr>
        <w:t>area and the</w:t>
      </w:r>
      <w:r w:rsidR="00FA680C">
        <w:rPr>
          <w:sz w:val="24"/>
          <w:szCs w:val="24"/>
        </w:rPr>
        <w:t xml:space="preserve"> </w:t>
      </w:r>
      <w:r w:rsidR="0040423B">
        <w:rPr>
          <w:sz w:val="24"/>
          <w:szCs w:val="24"/>
        </w:rPr>
        <w:t xml:space="preserve">original mortgage value </w:t>
      </w:r>
      <w:r w:rsidR="00BA1CB1">
        <w:rPr>
          <w:sz w:val="24"/>
          <w:szCs w:val="24"/>
        </w:rPr>
        <w:t>as</w:t>
      </w:r>
      <w:r w:rsidR="00FA680C">
        <w:rPr>
          <w:sz w:val="24"/>
          <w:szCs w:val="24"/>
        </w:rPr>
        <w:t xml:space="preserve"> </w:t>
      </w:r>
      <w:r w:rsidR="00282510">
        <w:rPr>
          <w:sz w:val="24"/>
          <w:szCs w:val="24"/>
        </w:rPr>
        <w:t>instrument</w:t>
      </w:r>
      <w:r w:rsidR="00BA1CB1">
        <w:rPr>
          <w:sz w:val="24"/>
          <w:szCs w:val="24"/>
        </w:rPr>
        <w:t xml:space="preserve">s </w:t>
      </w:r>
      <w:r w:rsidR="00FA680C">
        <w:rPr>
          <w:sz w:val="24"/>
          <w:szCs w:val="24"/>
        </w:rPr>
        <w:t xml:space="preserve">for </w:t>
      </w:r>
      <w:r w:rsidR="00282510">
        <w:rPr>
          <w:sz w:val="24"/>
          <w:szCs w:val="24"/>
        </w:rPr>
        <w:t xml:space="preserve">self-reported </w:t>
      </w:r>
      <w:r w:rsidR="00B21C42">
        <w:rPr>
          <w:sz w:val="24"/>
          <w:szCs w:val="24"/>
        </w:rPr>
        <w:t>current equity</w:t>
      </w:r>
      <w:r w:rsidR="00282510">
        <w:rPr>
          <w:sz w:val="24"/>
          <w:szCs w:val="24"/>
        </w:rPr>
        <w:t xml:space="preserve">, </w:t>
      </w:r>
      <w:r w:rsidR="00BD4E93">
        <w:rPr>
          <w:sz w:val="24"/>
          <w:szCs w:val="24"/>
        </w:rPr>
        <w:t>following</w:t>
      </w:r>
      <w:r>
        <w:rPr>
          <w:sz w:val="24"/>
          <w:szCs w:val="24"/>
        </w:rPr>
        <w:t xml:space="preserve"> in the fo</w:t>
      </w:r>
      <w:r w:rsidR="00B21C42">
        <w:rPr>
          <w:sz w:val="24"/>
          <w:szCs w:val="24"/>
        </w:rPr>
        <w:t xml:space="preserve">otsteps of </w:t>
      </w:r>
      <w:proofErr w:type="spellStart"/>
      <w:r w:rsidR="00B21C42">
        <w:rPr>
          <w:sz w:val="24"/>
          <w:szCs w:val="24"/>
        </w:rPr>
        <w:t>Ferraria</w:t>
      </w:r>
      <w:proofErr w:type="spellEnd"/>
      <w:r w:rsidR="00B21C42">
        <w:rPr>
          <w:sz w:val="24"/>
          <w:szCs w:val="24"/>
        </w:rPr>
        <w:t xml:space="preserve"> et al. </w:t>
      </w:r>
      <w:r w:rsidR="00B876D1">
        <w:rPr>
          <w:sz w:val="24"/>
          <w:szCs w:val="24"/>
        </w:rPr>
        <w:t>(</w:t>
      </w:r>
      <w:r w:rsidR="00B21C42">
        <w:rPr>
          <w:sz w:val="24"/>
          <w:szCs w:val="24"/>
        </w:rPr>
        <w:t>2010</w:t>
      </w:r>
      <w:r w:rsidR="00B876D1">
        <w:rPr>
          <w:sz w:val="24"/>
          <w:szCs w:val="24"/>
        </w:rPr>
        <w:t>)</w:t>
      </w:r>
      <w:r>
        <w:rPr>
          <w:sz w:val="24"/>
          <w:szCs w:val="24"/>
        </w:rPr>
        <w:t xml:space="preserve">. </w:t>
      </w:r>
    </w:p>
    <w:p w:rsidR="002272F4" w:rsidRDefault="002272F4" w:rsidP="0040423B">
      <w:pPr>
        <w:spacing w:line="480" w:lineRule="auto"/>
        <w:rPr>
          <w:sz w:val="24"/>
          <w:szCs w:val="24"/>
        </w:rPr>
      </w:pPr>
      <w:r>
        <w:rPr>
          <w:i/>
          <w:sz w:val="24"/>
          <w:szCs w:val="24"/>
        </w:rPr>
        <w:t>House prices</w:t>
      </w:r>
    </w:p>
    <w:p w:rsidR="00FC0819" w:rsidRDefault="002272F4" w:rsidP="00B62356">
      <w:pPr>
        <w:spacing w:line="480" w:lineRule="auto"/>
        <w:rPr>
          <w:sz w:val="24"/>
          <w:szCs w:val="24"/>
        </w:rPr>
      </w:pPr>
      <w:r>
        <w:rPr>
          <w:sz w:val="24"/>
          <w:szCs w:val="24"/>
        </w:rPr>
        <w:t xml:space="preserve">Another key variable is the level of </w:t>
      </w:r>
      <w:r w:rsidR="00B876D1">
        <w:rPr>
          <w:sz w:val="24"/>
          <w:szCs w:val="24"/>
        </w:rPr>
        <w:t xml:space="preserve">the </w:t>
      </w:r>
      <w:r w:rsidR="002A34F7">
        <w:rPr>
          <w:sz w:val="24"/>
          <w:szCs w:val="24"/>
        </w:rPr>
        <w:t>relative house price (per unit of ‘housing services’)</w:t>
      </w:r>
      <w:r>
        <w:rPr>
          <w:sz w:val="24"/>
          <w:szCs w:val="24"/>
        </w:rPr>
        <w:t xml:space="preserve"> in the relevant market</w:t>
      </w:r>
      <w:r w:rsidR="00506139">
        <w:rPr>
          <w:sz w:val="24"/>
          <w:szCs w:val="24"/>
        </w:rPr>
        <w:t xml:space="preserve"> (P)</w:t>
      </w:r>
      <w:r>
        <w:rPr>
          <w:sz w:val="24"/>
          <w:szCs w:val="24"/>
        </w:rPr>
        <w:t xml:space="preserve">.  We </w:t>
      </w:r>
      <w:r w:rsidR="002A34F7">
        <w:rPr>
          <w:sz w:val="24"/>
          <w:szCs w:val="24"/>
        </w:rPr>
        <w:t>use</w:t>
      </w:r>
      <w:r w:rsidR="00506139">
        <w:rPr>
          <w:sz w:val="24"/>
          <w:szCs w:val="24"/>
        </w:rPr>
        <w:t xml:space="preserve"> an indicator of </w:t>
      </w:r>
      <w:r w:rsidR="002A34F7">
        <w:rPr>
          <w:sz w:val="24"/>
          <w:szCs w:val="24"/>
        </w:rPr>
        <w:t xml:space="preserve">average </w:t>
      </w:r>
      <w:r w:rsidR="00506139">
        <w:rPr>
          <w:sz w:val="24"/>
          <w:szCs w:val="24"/>
        </w:rPr>
        <w:t xml:space="preserve">market prices, drawn from </w:t>
      </w:r>
      <w:r>
        <w:rPr>
          <w:sz w:val="24"/>
          <w:szCs w:val="24"/>
        </w:rPr>
        <w:t xml:space="preserve">Land Registry </w:t>
      </w:r>
      <w:r w:rsidR="00285972">
        <w:rPr>
          <w:sz w:val="24"/>
          <w:szCs w:val="24"/>
        </w:rPr>
        <w:t xml:space="preserve">data </w:t>
      </w:r>
      <w:r>
        <w:rPr>
          <w:sz w:val="24"/>
          <w:szCs w:val="24"/>
        </w:rPr>
        <w:t>at the local authority level</w:t>
      </w:r>
      <w:r w:rsidR="0061766B">
        <w:rPr>
          <w:sz w:val="24"/>
          <w:szCs w:val="24"/>
        </w:rPr>
        <w:t xml:space="preserve"> (available from January </w:t>
      </w:r>
      <w:r w:rsidR="0061766B">
        <w:rPr>
          <w:sz w:val="24"/>
          <w:szCs w:val="24"/>
        </w:rPr>
        <w:lastRenderedPageBreak/>
        <w:t>1995)</w:t>
      </w:r>
      <w:r>
        <w:rPr>
          <w:sz w:val="24"/>
          <w:szCs w:val="24"/>
        </w:rPr>
        <w:t>.</w:t>
      </w:r>
      <w:r w:rsidR="00975E75">
        <w:rPr>
          <w:rStyle w:val="FootnoteReference"/>
          <w:sz w:val="24"/>
          <w:szCs w:val="24"/>
        </w:rPr>
        <w:footnoteReference w:id="6"/>
      </w:r>
      <w:r>
        <w:rPr>
          <w:sz w:val="24"/>
          <w:szCs w:val="24"/>
        </w:rPr>
        <w:t xml:space="preserve">  On the one hand, this level of aggregation may be considered too small for the housing market relevant to mobility decisions</w:t>
      </w:r>
      <w:r w:rsidR="00285972">
        <w:rPr>
          <w:sz w:val="24"/>
          <w:szCs w:val="24"/>
        </w:rPr>
        <w:t xml:space="preserve">, </w:t>
      </w:r>
      <w:r w:rsidR="00D10C5A">
        <w:rPr>
          <w:sz w:val="24"/>
          <w:szCs w:val="24"/>
        </w:rPr>
        <w:t xml:space="preserve">despite the fact that </w:t>
      </w:r>
      <w:r w:rsidR="00285972">
        <w:rPr>
          <w:sz w:val="24"/>
          <w:szCs w:val="24"/>
        </w:rPr>
        <w:t>most moves are local</w:t>
      </w:r>
      <w:r>
        <w:rPr>
          <w:sz w:val="24"/>
          <w:szCs w:val="24"/>
        </w:rPr>
        <w:t>.  But these data have many advantages: (1) they are comprehensive (e.g. compared to data from particular large building societies, such as Nationwide or Halifax) ; (2) they are available monthly, allowing a</w:t>
      </w:r>
      <w:r w:rsidR="00285972">
        <w:rPr>
          <w:sz w:val="24"/>
          <w:szCs w:val="24"/>
        </w:rPr>
        <w:t xml:space="preserve"> close match to interview dates and flexibility in defining the time period for measuring house prices; and (3) they can be disaggregated by house type (e.g. detached, semi-detached etc.).  </w:t>
      </w:r>
      <w:r w:rsidR="0033518A">
        <w:rPr>
          <w:sz w:val="24"/>
          <w:szCs w:val="24"/>
        </w:rPr>
        <w:t xml:space="preserve">Details on the data and how we match them to the BHPS data are supplied in Appendix A. </w:t>
      </w:r>
    </w:p>
    <w:p w:rsidR="00A84EE4" w:rsidRDefault="00430AEE" w:rsidP="00A84EE4">
      <w:pPr>
        <w:spacing w:line="480" w:lineRule="auto"/>
        <w:rPr>
          <w:i/>
          <w:sz w:val="24"/>
          <w:szCs w:val="24"/>
        </w:rPr>
      </w:pPr>
      <w:r>
        <w:rPr>
          <w:i/>
          <w:sz w:val="24"/>
          <w:szCs w:val="24"/>
        </w:rPr>
        <w:t>Econometric analysis</w:t>
      </w:r>
    </w:p>
    <w:p w:rsidR="00DB46A3" w:rsidRDefault="00FC0819" w:rsidP="00FC0819">
      <w:pPr>
        <w:spacing w:line="480" w:lineRule="auto"/>
        <w:rPr>
          <w:sz w:val="24"/>
          <w:szCs w:val="24"/>
        </w:rPr>
      </w:pPr>
      <w:r>
        <w:rPr>
          <w:sz w:val="24"/>
          <w:szCs w:val="24"/>
        </w:rPr>
        <w:t xml:space="preserve">We </w:t>
      </w:r>
      <w:r w:rsidR="00AB6849">
        <w:rPr>
          <w:sz w:val="24"/>
          <w:szCs w:val="24"/>
        </w:rPr>
        <w:t xml:space="preserve">take women as the ‘household marker person’ and </w:t>
      </w:r>
      <w:r>
        <w:rPr>
          <w:sz w:val="24"/>
          <w:szCs w:val="24"/>
        </w:rPr>
        <w:t xml:space="preserve">confine the analysis to women </w:t>
      </w:r>
      <w:r w:rsidRPr="00FC0819">
        <w:rPr>
          <w:sz w:val="24"/>
          <w:szCs w:val="24"/>
        </w:rPr>
        <w:t>aged under 45 not living with their parents, who are owners of a single home and have a mortgage, over the period 1992-2008</w:t>
      </w:r>
      <w:r w:rsidR="00B476AD">
        <w:rPr>
          <w:sz w:val="24"/>
          <w:szCs w:val="24"/>
        </w:rPr>
        <w:t>.</w:t>
      </w:r>
      <w:r w:rsidR="00D0314C">
        <w:rPr>
          <w:rStyle w:val="FootnoteReference"/>
          <w:sz w:val="24"/>
          <w:szCs w:val="24"/>
        </w:rPr>
        <w:footnoteReference w:id="7"/>
      </w:r>
      <w:r>
        <w:rPr>
          <w:sz w:val="24"/>
          <w:szCs w:val="24"/>
        </w:rPr>
        <w:t xml:space="preserve">  </w:t>
      </w:r>
      <w:r w:rsidR="00B476AD">
        <w:rPr>
          <w:sz w:val="24"/>
          <w:szCs w:val="24"/>
        </w:rPr>
        <w:t xml:space="preserve">There are not </w:t>
      </w:r>
      <w:r w:rsidR="00581B34" w:rsidRPr="00581B34">
        <w:rPr>
          <w:sz w:val="24"/>
          <w:szCs w:val="24"/>
        </w:rPr>
        <w:t>s</w:t>
      </w:r>
      <w:r w:rsidR="00DB46A3">
        <w:rPr>
          <w:sz w:val="24"/>
          <w:szCs w:val="24"/>
        </w:rPr>
        <w:t>ubstantive differences if men a</w:t>
      </w:r>
      <w:r w:rsidR="00581B34" w:rsidRPr="00581B34">
        <w:rPr>
          <w:sz w:val="24"/>
          <w:szCs w:val="24"/>
        </w:rPr>
        <w:t>re chosen as the marker person</w:t>
      </w:r>
      <w:r w:rsidR="00DB46A3">
        <w:rPr>
          <w:sz w:val="24"/>
          <w:szCs w:val="24"/>
        </w:rPr>
        <w:t xml:space="preserve">.  For instance, the pattern shown in Table 1 is very similar and we indicate below that estimates of the key parameters do not differ if men are taken as marker. </w:t>
      </w:r>
    </w:p>
    <w:p w:rsidR="00634DD2" w:rsidRDefault="00DB46A3" w:rsidP="00FC0819">
      <w:pPr>
        <w:spacing w:line="480" w:lineRule="auto"/>
        <w:rPr>
          <w:sz w:val="24"/>
          <w:szCs w:val="24"/>
        </w:rPr>
      </w:pPr>
      <w:r w:rsidRPr="00DB46A3">
        <w:rPr>
          <w:sz w:val="24"/>
          <w:szCs w:val="24"/>
        </w:rPr>
        <w:t xml:space="preserve"> </w:t>
      </w:r>
      <w:r>
        <w:rPr>
          <w:sz w:val="24"/>
          <w:szCs w:val="24"/>
        </w:rPr>
        <w:tab/>
      </w:r>
      <w:r w:rsidR="003C52FD">
        <w:rPr>
          <w:sz w:val="24"/>
          <w:szCs w:val="24"/>
        </w:rPr>
        <w:t>The annual residential movement rate is 8.6 percent</w:t>
      </w:r>
      <w:r w:rsidR="00671C03">
        <w:rPr>
          <w:sz w:val="24"/>
          <w:szCs w:val="24"/>
        </w:rPr>
        <w:t xml:space="preserve"> (N=</w:t>
      </w:r>
      <w:r w:rsidR="002A34F7">
        <w:rPr>
          <w:sz w:val="24"/>
          <w:szCs w:val="24"/>
        </w:rPr>
        <w:t xml:space="preserve">number of </w:t>
      </w:r>
      <w:r w:rsidR="00671C03">
        <w:rPr>
          <w:sz w:val="24"/>
          <w:szCs w:val="24"/>
        </w:rPr>
        <w:t>woman-years=9638</w:t>
      </w:r>
      <w:r w:rsidR="005A7EF3">
        <w:rPr>
          <w:sz w:val="24"/>
          <w:szCs w:val="24"/>
        </w:rPr>
        <w:t>)</w:t>
      </w:r>
      <w:r w:rsidR="003C52FD">
        <w:rPr>
          <w:sz w:val="24"/>
          <w:szCs w:val="24"/>
        </w:rPr>
        <w:t xml:space="preserve">.  </w:t>
      </w:r>
      <w:r w:rsidR="008753B8">
        <w:rPr>
          <w:sz w:val="24"/>
          <w:szCs w:val="24"/>
        </w:rPr>
        <w:t xml:space="preserve">On the basis of changes in real house value, 87% of the moves are ‘upmarket’, in line with the assumption in our theoretical model that λ&gt;1.  </w:t>
      </w:r>
      <w:r w:rsidR="00365615">
        <w:rPr>
          <w:sz w:val="24"/>
          <w:szCs w:val="24"/>
        </w:rPr>
        <w:t xml:space="preserve">Among the movers, one-fifth </w:t>
      </w:r>
      <w:proofErr w:type="gramStart"/>
      <w:r w:rsidR="00EA20CE">
        <w:rPr>
          <w:sz w:val="24"/>
          <w:szCs w:val="24"/>
        </w:rPr>
        <w:t>cease</w:t>
      </w:r>
      <w:proofErr w:type="gramEnd"/>
      <w:r w:rsidR="00365615">
        <w:rPr>
          <w:sz w:val="24"/>
          <w:szCs w:val="24"/>
        </w:rPr>
        <w:t xml:space="preserve"> being a homeowner after the move, mainly moving into private rental housing.  Some other analysts confine their analysis to ‘own-to-own’ moves (e.g. </w:t>
      </w:r>
      <w:proofErr w:type="spellStart"/>
      <w:r w:rsidR="00365615">
        <w:rPr>
          <w:sz w:val="24"/>
          <w:szCs w:val="24"/>
        </w:rPr>
        <w:t>Englehardt</w:t>
      </w:r>
      <w:proofErr w:type="spellEnd"/>
      <w:r w:rsidR="00365615">
        <w:rPr>
          <w:sz w:val="24"/>
          <w:szCs w:val="24"/>
        </w:rPr>
        <w:t xml:space="preserve"> 2003).  In the British context, such censoring is less appropriate because renting </w:t>
      </w:r>
      <w:r w:rsidR="00EA20CE">
        <w:rPr>
          <w:sz w:val="24"/>
          <w:szCs w:val="24"/>
        </w:rPr>
        <w:t xml:space="preserve">in </w:t>
      </w:r>
      <w:r w:rsidR="00365615">
        <w:rPr>
          <w:sz w:val="24"/>
          <w:szCs w:val="24"/>
        </w:rPr>
        <w:t xml:space="preserve">the private sector </w:t>
      </w:r>
      <w:r w:rsidR="00EA20CE">
        <w:rPr>
          <w:sz w:val="24"/>
          <w:szCs w:val="24"/>
        </w:rPr>
        <w:t xml:space="preserve">for long durations </w:t>
      </w:r>
      <w:r w:rsidR="00365615">
        <w:rPr>
          <w:sz w:val="24"/>
          <w:szCs w:val="24"/>
        </w:rPr>
        <w:t xml:space="preserve">is much less </w:t>
      </w:r>
      <w:r w:rsidR="00365615">
        <w:rPr>
          <w:sz w:val="24"/>
          <w:szCs w:val="24"/>
        </w:rPr>
        <w:lastRenderedPageBreak/>
        <w:t xml:space="preserve">common after a person has become an owner.  The </w:t>
      </w:r>
      <w:r w:rsidR="00EA20CE">
        <w:rPr>
          <w:sz w:val="24"/>
          <w:szCs w:val="24"/>
        </w:rPr>
        <w:t xml:space="preserve">observed </w:t>
      </w:r>
      <w:r w:rsidR="00365615">
        <w:rPr>
          <w:sz w:val="24"/>
          <w:szCs w:val="24"/>
        </w:rPr>
        <w:t xml:space="preserve">moves </w:t>
      </w:r>
      <w:r w:rsidR="00EA20CE">
        <w:rPr>
          <w:sz w:val="24"/>
          <w:szCs w:val="24"/>
        </w:rPr>
        <w:t xml:space="preserve">out of owner-occupation </w:t>
      </w:r>
      <w:r w:rsidR="00365615">
        <w:rPr>
          <w:sz w:val="24"/>
          <w:szCs w:val="24"/>
        </w:rPr>
        <w:t xml:space="preserve">into private tenancy are likely to be </w:t>
      </w:r>
      <w:r w:rsidR="00B876D1">
        <w:rPr>
          <w:sz w:val="24"/>
          <w:szCs w:val="24"/>
        </w:rPr>
        <w:t xml:space="preserve">mainly </w:t>
      </w:r>
      <w:r w:rsidR="00365615">
        <w:rPr>
          <w:sz w:val="24"/>
          <w:szCs w:val="24"/>
        </w:rPr>
        <w:t>transitional moves on the way to buying another house.  Of course, a small number of these may also reflect mortgage default.</w:t>
      </w:r>
      <w:r w:rsidR="00942FED">
        <w:rPr>
          <w:sz w:val="24"/>
          <w:szCs w:val="24"/>
        </w:rPr>
        <w:t xml:space="preserve">  Our main analysis is on all moves among owners</w:t>
      </w:r>
      <w:r w:rsidR="003C0CEB">
        <w:rPr>
          <w:sz w:val="24"/>
          <w:szCs w:val="24"/>
        </w:rPr>
        <w:t xml:space="preserve"> with a mortgage</w:t>
      </w:r>
      <w:r w:rsidR="00EA20CE">
        <w:rPr>
          <w:sz w:val="24"/>
          <w:szCs w:val="24"/>
        </w:rPr>
        <w:t>, but we also consider own-to-own moves separately</w:t>
      </w:r>
      <w:r w:rsidR="00942FED">
        <w:rPr>
          <w:sz w:val="24"/>
          <w:szCs w:val="24"/>
        </w:rPr>
        <w:t>.</w:t>
      </w:r>
    </w:p>
    <w:p w:rsidR="00C528A4" w:rsidRDefault="006057F0" w:rsidP="00C528A4">
      <w:pPr>
        <w:spacing w:line="480" w:lineRule="auto"/>
        <w:ind w:firstLine="720"/>
        <w:rPr>
          <w:sz w:val="24"/>
          <w:szCs w:val="24"/>
        </w:rPr>
      </w:pPr>
      <w:r>
        <w:rPr>
          <w:sz w:val="24"/>
          <w:szCs w:val="24"/>
        </w:rPr>
        <w:t>There are some measurement problems</w:t>
      </w:r>
      <w:r w:rsidR="00634DD2">
        <w:rPr>
          <w:sz w:val="24"/>
          <w:szCs w:val="24"/>
        </w:rPr>
        <w:t xml:space="preserve"> for housing equity</w:t>
      </w:r>
      <w:r>
        <w:rPr>
          <w:sz w:val="24"/>
          <w:szCs w:val="24"/>
        </w:rPr>
        <w:t xml:space="preserve">, which are very visible at the low end.  For instance, there are 55 observations that have an equity ratio less than -0.5.  </w:t>
      </w:r>
      <w:r w:rsidR="00C528A4">
        <w:rPr>
          <w:sz w:val="24"/>
          <w:szCs w:val="24"/>
        </w:rPr>
        <w:t xml:space="preserve">These </w:t>
      </w:r>
      <w:r w:rsidR="00C528A4" w:rsidRPr="00C528A4">
        <w:rPr>
          <w:sz w:val="24"/>
          <w:szCs w:val="24"/>
        </w:rPr>
        <w:t xml:space="preserve">cases involve 52 individuals, indicating lack of persistence in these values.  The large negative equity comes mainly from high reported mortgage debt: a median value of </w:t>
      </w:r>
      <w:r w:rsidR="00BF52A3">
        <w:rPr>
          <w:sz w:val="24"/>
          <w:szCs w:val="24"/>
        </w:rPr>
        <w:t>£</w:t>
      </w:r>
      <w:r w:rsidR="00C528A4" w:rsidRPr="00C528A4">
        <w:rPr>
          <w:sz w:val="24"/>
          <w:szCs w:val="24"/>
        </w:rPr>
        <w:t xml:space="preserve">200,000 </w:t>
      </w:r>
      <w:r w:rsidR="00C528A4">
        <w:rPr>
          <w:sz w:val="24"/>
          <w:szCs w:val="24"/>
        </w:rPr>
        <w:t xml:space="preserve">for these cases </w:t>
      </w:r>
      <w:r w:rsidR="00C528A4" w:rsidRPr="00C528A4">
        <w:rPr>
          <w:sz w:val="24"/>
          <w:szCs w:val="24"/>
        </w:rPr>
        <w:t xml:space="preserve">compared with </w:t>
      </w:r>
      <w:r w:rsidR="00BF52A3">
        <w:rPr>
          <w:sz w:val="24"/>
          <w:szCs w:val="24"/>
        </w:rPr>
        <w:t>£</w:t>
      </w:r>
      <w:r w:rsidR="00C528A4" w:rsidRPr="00C528A4">
        <w:rPr>
          <w:sz w:val="24"/>
          <w:szCs w:val="24"/>
        </w:rPr>
        <w:t xml:space="preserve">45,000 for the rest of the sample (means of </w:t>
      </w:r>
      <w:r w:rsidR="00BF52A3">
        <w:rPr>
          <w:sz w:val="24"/>
          <w:szCs w:val="24"/>
        </w:rPr>
        <w:t>£</w:t>
      </w:r>
      <w:r w:rsidR="00C528A4" w:rsidRPr="00C528A4">
        <w:rPr>
          <w:sz w:val="24"/>
          <w:szCs w:val="24"/>
        </w:rPr>
        <w:t xml:space="preserve">444,000 cf. </w:t>
      </w:r>
      <w:r w:rsidR="00BF52A3">
        <w:rPr>
          <w:sz w:val="24"/>
          <w:szCs w:val="24"/>
        </w:rPr>
        <w:t>£</w:t>
      </w:r>
      <w:r w:rsidR="00C528A4" w:rsidRPr="00C528A4">
        <w:rPr>
          <w:sz w:val="24"/>
          <w:szCs w:val="24"/>
        </w:rPr>
        <w:t>57,000).  Those with extreme values hav</w:t>
      </w:r>
      <w:r w:rsidR="00C528A4">
        <w:rPr>
          <w:sz w:val="24"/>
          <w:szCs w:val="24"/>
        </w:rPr>
        <w:t>e a mean residential of tenure one</w:t>
      </w:r>
      <w:r w:rsidR="00C528A4" w:rsidRPr="00C528A4">
        <w:rPr>
          <w:sz w:val="24"/>
          <w:szCs w:val="24"/>
        </w:rPr>
        <w:t xml:space="preserve"> year </w:t>
      </w:r>
      <w:r w:rsidR="00C528A4" w:rsidRPr="00C528A4">
        <w:rPr>
          <w:sz w:val="24"/>
          <w:szCs w:val="24"/>
          <w:u w:val="single"/>
        </w:rPr>
        <w:t>shorter</w:t>
      </w:r>
      <w:r w:rsidR="00C528A4" w:rsidRPr="00C528A4">
        <w:rPr>
          <w:sz w:val="24"/>
          <w:szCs w:val="24"/>
        </w:rPr>
        <w:t xml:space="preserve"> than the rest.</w:t>
      </w:r>
      <w:r w:rsidR="00C528A4">
        <w:rPr>
          <w:sz w:val="24"/>
          <w:szCs w:val="24"/>
        </w:rPr>
        <w:t xml:space="preserve">  </w:t>
      </w:r>
      <w:r>
        <w:rPr>
          <w:sz w:val="24"/>
          <w:szCs w:val="24"/>
        </w:rPr>
        <w:t xml:space="preserve">We exclude these observations. </w:t>
      </w:r>
    </w:p>
    <w:p w:rsidR="00C528A4" w:rsidRDefault="006057F0" w:rsidP="00C528A4">
      <w:pPr>
        <w:spacing w:line="480" w:lineRule="auto"/>
        <w:ind w:firstLine="720"/>
        <w:rPr>
          <w:sz w:val="24"/>
          <w:szCs w:val="24"/>
        </w:rPr>
      </w:pPr>
      <w:r>
        <w:rPr>
          <w:sz w:val="24"/>
          <w:szCs w:val="24"/>
        </w:rPr>
        <w:t xml:space="preserve">The quartiles of the distribution of the equity ratio in the previous year are 0.25, 0.45 and 0.63, with a mean ratio of 0.44.  </w:t>
      </w:r>
      <w:r w:rsidR="00FC0819">
        <w:rPr>
          <w:sz w:val="24"/>
          <w:szCs w:val="24"/>
        </w:rPr>
        <w:t>Table 1 shows how residential movement varies with the equ</w:t>
      </w:r>
      <w:r w:rsidR="005A7EF3">
        <w:rPr>
          <w:sz w:val="24"/>
          <w:szCs w:val="24"/>
        </w:rPr>
        <w:t>ity ratio in the previous year</w:t>
      </w:r>
      <w:r w:rsidR="00FC0819">
        <w:rPr>
          <w:sz w:val="24"/>
          <w:szCs w:val="24"/>
        </w:rPr>
        <w:t>.</w:t>
      </w:r>
    </w:p>
    <w:p w:rsidR="00FC0819" w:rsidRPr="00FC0819" w:rsidRDefault="00FC0819" w:rsidP="00FC0819">
      <w:pPr>
        <w:rPr>
          <w:sz w:val="24"/>
          <w:szCs w:val="24"/>
        </w:rPr>
      </w:pPr>
      <w:r>
        <w:rPr>
          <w:sz w:val="24"/>
          <w:szCs w:val="24"/>
        </w:rPr>
        <w:t>Table 1: Residential movement by Equity Ratio (q) in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1381"/>
        <w:gridCol w:w="1601"/>
        <w:gridCol w:w="1601"/>
        <w:gridCol w:w="1482"/>
        <w:gridCol w:w="1121"/>
      </w:tblGrid>
      <w:tr w:rsidR="003C52FD" w:rsidRPr="00FC0819">
        <w:tc>
          <w:tcPr>
            <w:tcW w:w="1336" w:type="dxa"/>
          </w:tcPr>
          <w:p w:rsidR="003C52FD" w:rsidRPr="00FC0819" w:rsidRDefault="003C52FD" w:rsidP="00FC0819">
            <w:pPr>
              <w:rPr>
                <w:sz w:val="24"/>
                <w:szCs w:val="24"/>
              </w:rPr>
            </w:pPr>
            <w:r w:rsidRPr="00FC0819">
              <w:rPr>
                <w:sz w:val="24"/>
                <w:szCs w:val="24"/>
              </w:rPr>
              <w:t>Move</w:t>
            </w:r>
          </w:p>
        </w:tc>
        <w:tc>
          <w:tcPr>
            <w:tcW w:w="1381" w:type="dxa"/>
          </w:tcPr>
          <w:p w:rsidR="003C52FD" w:rsidRPr="005A7EF3" w:rsidRDefault="003C52FD" w:rsidP="003C52FD">
            <w:pPr>
              <w:jc w:val="center"/>
              <w:rPr>
                <w:b/>
                <w:sz w:val="24"/>
                <w:szCs w:val="24"/>
              </w:rPr>
            </w:pPr>
            <w:r w:rsidRPr="005A7EF3">
              <w:rPr>
                <w:b/>
                <w:sz w:val="24"/>
                <w:szCs w:val="24"/>
              </w:rPr>
              <w:t>q&gt;0.20</w:t>
            </w:r>
          </w:p>
        </w:tc>
        <w:tc>
          <w:tcPr>
            <w:tcW w:w="1601" w:type="dxa"/>
          </w:tcPr>
          <w:p w:rsidR="003C52FD" w:rsidRPr="005A7EF3" w:rsidRDefault="003C52FD" w:rsidP="003C52FD">
            <w:pPr>
              <w:jc w:val="center"/>
              <w:rPr>
                <w:b/>
                <w:sz w:val="24"/>
                <w:szCs w:val="24"/>
              </w:rPr>
            </w:pPr>
            <w:r w:rsidRPr="005A7EF3">
              <w:rPr>
                <w:b/>
                <w:sz w:val="24"/>
                <w:szCs w:val="24"/>
              </w:rPr>
              <w:t>0.10&lt;q≤0.20</w:t>
            </w:r>
          </w:p>
        </w:tc>
        <w:tc>
          <w:tcPr>
            <w:tcW w:w="1601" w:type="dxa"/>
          </w:tcPr>
          <w:p w:rsidR="003C52FD" w:rsidRPr="005A7EF3" w:rsidRDefault="003C52FD" w:rsidP="003C52FD">
            <w:pPr>
              <w:jc w:val="center"/>
              <w:rPr>
                <w:b/>
                <w:sz w:val="24"/>
                <w:szCs w:val="24"/>
              </w:rPr>
            </w:pPr>
            <w:r w:rsidRPr="005A7EF3">
              <w:rPr>
                <w:b/>
                <w:sz w:val="24"/>
                <w:szCs w:val="24"/>
              </w:rPr>
              <w:t>0.05&lt;q≤0.10</w:t>
            </w:r>
          </w:p>
        </w:tc>
        <w:tc>
          <w:tcPr>
            <w:tcW w:w="1482" w:type="dxa"/>
          </w:tcPr>
          <w:p w:rsidR="003C52FD" w:rsidRPr="005A7EF3" w:rsidRDefault="003C52FD" w:rsidP="003C52FD">
            <w:pPr>
              <w:jc w:val="center"/>
              <w:rPr>
                <w:b/>
                <w:sz w:val="24"/>
                <w:szCs w:val="24"/>
              </w:rPr>
            </w:pPr>
            <w:r w:rsidRPr="005A7EF3">
              <w:rPr>
                <w:b/>
                <w:sz w:val="24"/>
                <w:szCs w:val="24"/>
              </w:rPr>
              <w:t>0.05&lt;q≤0</w:t>
            </w:r>
          </w:p>
        </w:tc>
        <w:tc>
          <w:tcPr>
            <w:tcW w:w="1121" w:type="dxa"/>
          </w:tcPr>
          <w:p w:rsidR="003C52FD" w:rsidRPr="005A7EF3" w:rsidRDefault="003C52FD" w:rsidP="003C52FD">
            <w:pPr>
              <w:jc w:val="center"/>
              <w:rPr>
                <w:b/>
                <w:sz w:val="24"/>
                <w:szCs w:val="24"/>
              </w:rPr>
            </w:pPr>
            <w:r w:rsidRPr="005A7EF3">
              <w:rPr>
                <w:b/>
                <w:sz w:val="24"/>
                <w:szCs w:val="24"/>
              </w:rPr>
              <w:t>q&lt;0</w:t>
            </w:r>
          </w:p>
        </w:tc>
      </w:tr>
      <w:tr w:rsidR="003C52FD" w:rsidRPr="00FC0819">
        <w:tc>
          <w:tcPr>
            <w:tcW w:w="1336" w:type="dxa"/>
          </w:tcPr>
          <w:p w:rsidR="003C52FD" w:rsidRPr="00FC0819" w:rsidRDefault="003C52FD" w:rsidP="00FC0819">
            <w:pPr>
              <w:rPr>
                <w:sz w:val="24"/>
                <w:szCs w:val="24"/>
              </w:rPr>
            </w:pPr>
            <w:r w:rsidRPr="00FC0819">
              <w:rPr>
                <w:sz w:val="24"/>
                <w:szCs w:val="24"/>
              </w:rPr>
              <w:t>%</w:t>
            </w:r>
            <w:r>
              <w:rPr>
                <w:sz w:val="24"/>
                <w:szCs w:val="24"/>
              </w:rPr>
              <w:t xml:space="preserve"> move</w:t>
            </w:r>
          </w:p>
        </w:tc>
        <w:tc>
          <w:tcPr>
            <w:tcW w:w="1381" w:type="dxa"/>
          </w:tcPr>
          <w:p w:rsidR="003C52FD" w:rsidRPr="003C52FD" w:rsidRDefault="00AA3107" w:rsidP="003C52FD">
            <w:pPr>
              <w:jc w:val="center"/>
              <w:rPr>
                <w:sz w:val="24"/>
                <w:szCs w:val="24"/>
              </w:rPr>
            </w:pPr>
            <w:r>
              <w:rPr>
                <w:sz w:val="24"/>
                <w:szCs w:val="24"/>
              </w:rPr>
              <w:t>7.93</w:t>
            </w:r>
          </w:p>
        </w:tc>
        <w:tc>
          <w:tcPr>
            <w:tcW w:w="1601" w:type="dxa"/>
          </w:tcPr>
          <w:p w:rsidR="003C52FD" w:rsidRPr="003C52FD" w:rsidRDefault="00AA3107" w:rsidP="003C52FD">
            <w:pPr>
              <w:jc w:val="center"/>
              <w:rPr>
                <w:sz w:val="24"/>
                <w:szCs w:val="24"/>
              </w:rPr>
            </w:pPr>
            <w:r>
              <w:rPr>
                <w:sz w:val="24"/>
                <w:szCs w:val="24"/>
              </w:rPr>
              <w:t>11.76</w:t>
            </w:r>
          </w:p>
        </w:tc>
        <w:tc>
          <w:tcPr>
            <w:tcW w:w="1601" w:type="dxa"/>
          </w:tcPr>
          <w:p w:rsidR="003C52FD" w:rsidRPr="003C52FD" w:rsidRDefault="00AA3107" w:rsidP="003C52FD">
            <w:pPr>
              <w:jc w:val="center"/>
              <w:rPr>
                <w:sz w:val="24"/>
                <w:szCs w:val="24"/>
              </w:rPr>
            </w:pPr>
            <w:r>
              <w:rPr>
                <w:sz w:val="24"/>
                <w:szCs w:val="24"/>
              </w:rPr>
              <w:t>8.78</w:t>
            </w:r>
          </w:p>
        </w:tc>
        <w:tc>
          <w:tcPr>
            <w:tcW w:w="1482" w:type="dxa"/>
          </w:tcPr>
          <w:p w:rsidR="003C52FD" w:rsidRPr="003C52FD" w:rsidRDefault="003C52FD" w:rsidP="003C52FD">
            <w:pPr>
              <w:jc w:val="center"/>
              <w:rPr>
                <w:sz w:val="24"/>
                <w:szCs w:val="24"/>
              </w:rPr>
            </w:pPr>
            <w:r w:rsidRPr="003C52FD">
              <w:rPr>
                <w:sz w:val="24"/>
                <w:szCs w:val="24"/>
              </w:rPr>
              <w:t>9.96</w:t>
            </w:r>
          </w:p>
        </w:tc>
        <w:tc>
          <w:tcPr>
            <w:tcW w:w="1121" w:type="dxa"/>
          </w:tcPr>
          <w:p w:rsidR="003C52FD" w:rsidRPr="003C52FD" w:rsidRDefault="003C52FD" w:rsidP="003C52FD">
            <w:pPr>
              <w:jc w:val="center"/>
              <w:rPr>
                <w:sz w:val="24"/>
                <w:szCs w:val="24"/>
              </w:rPr>
            </w:pPr>
            <w:r w:rsidRPr="003C52FD">
              <w:rPr>
                <w:sz w:val="24"/>
                <w:szCs w:val="24"/>
              </w:rPr>
              <w:t>20.86</w:t>
            </w:r>
          </w:p>
        </w:tc>
      </w:tr>
      <w:tr w:rsidR="003C52FD" w:rsidRPr="00FC0819">
        <w:tc>
          <w:tcPr>
            <w:tcW w:w="1336" w:type="dxa"/>
          </w:tcPr>
          <w:p w:rsidR="003C52FD" w:rsidRPr="00FC0819" w:rsidRDefault="003C52FD" w:rsidP="00FC0819">
            <w:pPr>
              <w:rPr>
                <w:sz w:val="24"/>
                <w:szCs w:val="24"/>
              </w:rPr>
            </w:pPr>
            <w:r>
              <w:rPr>
                <w:sz w:val="24"/>
                <w:szCs w:val="24"/>
              </w:rPr>
              <w:t>N (100%)</w:t>
            </w:r>
          </w:p>
        </w:tc>
        <w:tc>
          <w:tcPr>
            <w:tcW w:w="1381" w:type="dxa"/>
          </w:tcPr>
          <w:p w:rsidR="003C52FD" w:rsidRPr="00FC0819" w:rsidRDefault="003C52FD" w:rsidP="003C52FD">
            <w:pPr>
              <w:jc w:val="center"/>
              <w:rPr>
                <w:sz w:val="24"/>
                <w:szCs w:val="24"/>
              </w:rPr>
            </w:pPr>
            <w:r>
              <w:rPr>
                <w:sz w:val="24"/>
                <w:szCs w:val="24"/>
              </w:rPr>
              <w:t>7</w:t>
            </w:r>
            <w:r w:rsidR="00AA3107">
              <w:rPr>
                <w:sz w:val="24"/>
                <w:szCs w:val="24"/>
              </w:rPr>
              <w:t>879</w:t>
            </w:r>
          </w:p>
        </w:tc>
        <w:tc>
          <w:tcPr>
            <w:tcW w:w="1601" w:type="dxa"/>
          </w:tcPr>
          <w:p w:rsidR="003C52FD" w:rsidRPr="00FC0819" w:rsidRDefault="003C52FD" w:rsidP="003C52FD">
            <w:pPr>
              <w:jc w:val="center"/>
              <w:rPr>
                <w:sz w:val="24"/>
                <w:szCs w:val="24"/>
              </w:rPr>
            </w:pPr>
            <w:r>
              <w:rPr>
                <w:sz w:val="24"/>
                <w:szCs w:val="24"/>
              </w:rPr>
              <w:t>9</w:t>
            </w:r>
            <w:r w:rsidR="00AA3107">
              <w:rPr>
                <w:sz w:val="24"/>
                <w:szCs w:val="24"/>
              </w:rPr>
              <w:t>86</w:t>
            </w:r>
          </w:p>
        </w:tc>
        <w:tc>
          <w:tcPr>
            <w:tcW w:w="1601" w:type="dxa"/>
          </w:tcPr>
          <w:p w:rsidR="003C52FD" w:rsidRPr="00FC0819" w:rsidRDefault="003C52FD" w:rsidP="003C52FD">
            <w:pPr>
              <w:jc w:val="center"/>
              <w:rPr>
                <w:sz w:val="24"/>
                <w:szCs w:val="24"/>
              </w:rPr>
            </w:pPr>
            <w:r>
              <w:rPr>
                <w:sz w:val="24"/>
                <w:szCs w:val="24"/>
              </w:rPr>
              <w:t>35</w:t>
            </w:r>
            <w:r w:rsidR="00AA3107">
              <w:rPr>
                <w:sz w:val="24"/>
                <w:szCs w:val="24"/>
              </w:rPr>
              <w:t>3</w:t>
            </w:r>
          </w:p>
        </w:tc>
        <w:tc>
          <w:tcPr>
            <w:tcW w:w="1482" w:type="dxa"/>
          </w:tcPr>
          <w:p w:rsidR="003C52FD" w:rsidRPr="00FC0819" w:rsidRDefault="003C52FD" w:rsidP="003C52FD">
            <w:pPr>
              <w:jc w:val="center"/>
              <w:rPr>
                <w:sz w:val="24"/>
                <w:szCs w:val="24"/>
              </w:rPr>
            </w:pPr>
            <w:r>
              <w:rPr>
                <w:sz w:val="24"/>
                <w:szCs w:val="24"/>
              </w:rPr>
              <w:t>281</w:t>
            </w:r>
          </w:p>
        </w:tc>
        <w:tc>
          <w:tcPr>
            <w:tcW w:w="1121" w:type="dxa"/>
          </w:tcPr>
          <w:p w:rsidR="003C52FD" w:rsidRPr="00FC0819" w:rsidRDefault="003C52FD" w:rsidP="003C52FD">
            <w:pPr>
              <w:jc w:val="center"/>
              <w:rPr>
                <w:sz w:val="24"/>
                <w:szCs w:val="24"/>
              </w:rPr>
            </w:pPr>
            <w:r>
              <w:rPr>
                <w:sz w:val="24"/>
                <w:szCs w:val="24"/>
              </w:rPr>
              <w:t>139</w:t>
            </w:r>
          </w:p>
        </w:tc>
      </w:tr>
    </w:tbl>
    <w:p w:rsidR="00FC0819" w:rsidRDefault="00FC0819" w:rsidP="00FC0819">
      <w:pPr>
        <w:spacing w:line="480" w:lineRule="auto"/>
        <w:rPr>
          <w:sz w:val="24"/>
          <w:szCs w:val="24"/>
        </w:rPr>
      </w:pPr>
    </w:p>
    <w:p w:rsidR="00AF42E2" w:rsidRDefault="000B1089" w:rsidP="00FC0819">
      <w:pPr>
        <w:spacing w:line="480" w:lineRule="auto"/>
        <w:rPr>
          <w:sz w:val="24"/>
          <w:szCs w:val="24"/>
        </w:rPr>
      </w:pPr>
      <w:r w:rsidRPr="00FC0819">
        <w:rPr>
          <w:sz w:val="24"/>
          <w:szCs w:val="24"/>
        </w:rPr>
        <w:t xml:space="preserve">It appears that the probability of movement </w:t>
      </w:r>
      <w:r w:rsidR="00671C03">
        <w:rPr>
          <w:sz w:val="24"/>
          <w:szCs w:val="24"/>
        </w:rPr>
        <w:t>is lowest</w:t>
      </w:r>
      <w:r>
        <w:rPr>
          <w:sz w:val="24"/>
          <w:szCs w:val="24"/>
        </w:rPr>
        <w:t xml:space="preserve"> for households </w:t>
      </w:r>
      <w:r w:rsidRPr="00FC0819">
        <w:rPr>
          <w:sz w:val="24"/>
          <w:szCs w:val="24"/>
        </w:rPr>
        <w:t xml:space="preserve">with </w:t>
      </w:r>
      <w:r>
        <w:rPr>
          <w:sz w:val="24"/>
          <w:szCs w:val="24"/>
        </w:rPr>
        <w:t xml:space="preserve">considerable </w:t>
      </w:r>
      <w:r w:rsidRPr="00FC0819">
        <w:rPr>
          <w:sz w:val="24"/>
          <w:szCs w:val="24"/>
        </w:rPr>
        <w:t>housing equity</w:t>
      </w:r>
      <w:r>
        <w:rPr>
          <w:sz w:val="24"/>
          <w:szCs w:val="24"/>
        </w:rPr>
        <w:t xml:space="preserve"> (q&gt;0.2</w:t>
      </w:r>
      <w:r w:rsidR="00A84EE4">
        <w:rPr>
          <w:sz w:val="24"/>
          <w:szCs w:val="24"/>
        </w:rPr>
        <w:t>0</w:t>
      </w:r>
      <w:r>
        <w:rPr>
          <w:sz w:val="24"/>
          <w:szCs w:val="24"/>
        </w:rPr>
        <w:t>)</w:t>
      </w:r>
      <w:r w:rsidRPr="00FC0819">
        <w:rPr>
          <w:sz w:val="24"/>
          <w:szCs w:val="24"/>
        </w:rPr>
        <w:t xml:space="preserve">.  But this is likely to reflect other characteristics of </w:t>
      </w:r>
      <w:r w:rsidR="004665B7">
        <w:rPr>
          <w:sz w:val="24"/>
          <w:szCs w:val="24"/>
        </w:rPr>
        <w:t>women</w:t>
      </w:r>
      <w:r w:rsidRPr="00FC0819">
        <w:rPr>
          <w:sz w:val="24"/>
          <w:szCs w:val="24"/>
        </w:rPr>
        <w:t xml:space="preserve"> with </w:t>
      </w:r>
      <w:r w:rsidR="004665B7">
        <w:rPr>
          <w:sz w:val="24"/>
          <w:szCs w:val="24"/>
        </w:rPr>
        <w:t>high</w:t>
      </w:r>
      <w:r w:rsidRPr="00FC0819">
        <w:rPr>
          <w:sz w:val="24"/>
          <w:szCs w:val="24"/>
        </w:rPr>
        <w:t xml:space="preserve"> levels of housing equity (e.g. they are </w:t>
      </w:r>
      <w:r w:rsidR="004665B7">
        <w:rPr>
          <w:sz w:val="24"/>
          <w:szCs w:val="24"/>
        </w:rPr>
        <w:t>old</w:t>
      </w:r>
      <w:r w:rsidRPr="00FC0819">
        <w:rPr>
          <w:sz w:val="24"/>
          <w:szCs w:val="24"/>
        </w:rPr>
        <w:t xml:space="preserve">er, </w:t>
      </w:r>
      <w:r w:rsidR="004665B7">
        <w:rPr>
          <w:sz w:val="24"/>
          <w:szCs w:val="24"/>
        </w:rPr>
        <w:t>more likely to have a</w:t>
      </w:r>
      <w:r w:rsidR="0042031D">
        <w:rPr>
          <w:sz w:val="24"/>
          <w:szCs w:val="24"/>
        </w:rPr>
        <w:t xml:space="preserve"> </w:t>
      </w:r>
      <w:r w:rsidR="004665B7">
        <w:rPr>
          <w:sz w:val="24"/>
          <w:szCs w:val="24"/>
        </w:rPr>
        <w:t>partner and less</w:t>
      </w:r>
      <w:r w:rsidRPr="00FC0819">
        <w:rPr>
          <w:sz w:val="24"/>
          <w:szCs w:val="24"/>
        </w:rPr>
        <w:t xml:space="preserve"> likely to have childr</w:t>
      </w:r>
      <w:r w:rsidR="004665B7">
        <w:rPr>
          <w:sz w:val="24"/>
          <w:szCs w:val="24"/>
        </w:rPr>
        <w:t>en aged under 12)</w:t>
      </w:r>
      <w:r w:rsidRPr="00FC0819">
        <w:rPr>
          <w:sz w:val="24"/>
          <w:szCs w:val="24"/>
        </w:rPr>
        <w:t>.</w:t>
      </w:r>
      <w:r>
        <w:rPr>
          <w:sz w:val="24"/>
          <w:szCs w:val="24"/>
        </w:rPr>
        <w:t xml:space="preserve">  </w:t>
      </w:r>
    </w:p>
    <w:p w:rsidR="00D87BB8" w:rsidRDefault="00D87BB8" w:rsidP="00FC0819">
      <w:pPr>
        <w:spacing w:line="480" w:lineRule="auto"/>
        <w:rPr>
          <w:sz w:val="24"/>
          <w:szCs w:val="24"/>
        </w:rPr>
      </w:pPr>
      <w:r>
        <w:rPr>
          <w:sz w:val="24"/>
          <w:szCs w:val="24"/>
        </w:rPr>
        <w:tab/>
        <w:t>Our econometric model takes the following form:</w:t>
      </w:r>
    </w:p>
    <w:p w:rsidR="00D87BB8" w:rsidRPr="00D87BB8" w:rsidRDefault="00D87BB8" w:rsidP="00D87BB8">
      <w:pPr>
        <w:spacing w:line="480" w:lineRule="auto"/>
        <w:jc w:val="right"/>
        <w:rPr>
          <w:sz w:val="24"/>
          <w:szCs w:val="24"/>
        </w:rPr>
      </w:pPr>
      <w:proofErr w:type="spellStart"/>
      <w:r>
        <w:rPr>
          <w:sz w:val="24"/>
          <w:szCs w:val="24"/>
        </w:rPr>
        <w:t>M</w:t>
      </w:r>
      <w:r>
        <w:rPr>
          <w:sz w:val="24"/>
          <w:szCs w:val="24"/>
          <w:vertAlign w:val="subscript"/>
        </w:rPr>
        <w:t>it</w:t>
      </w:r>
      <w:proofErr w:type="spellEnd"/>
      <w:r>
        <w:rPr>
          <w:sz w:val="24"/>
          <w:szCs w:val="24"/>
        </w:rPr>
        <w:t xml:space="preserve">*= </w:t>
      </w:r>
      <w:r w:rsidRPr="00D87BB8">
        <w:rPr>
          <w:sz w:val="24"/>
          <w:szCs w:val="24"/>
        </w:rPr>
        <w:t>γ</w:t>
      </w:r>
      <w:r>
        <w:rPr>
          <w:sz w:val="24"/>
          <w:szCs w:val="24"/>
        </w:rPr>
        <w:t>q</w:t>
      </w:r>
      <w:r>
        <w:rPr>
          <w:sz w:val="24"/>
          <w:szCs w:val="24"/>
          <w:vertAlign w:val="subscript"/>
        </w:rPr>
        <w:t>it-1</w:t>
      </w:r>
      <w:r>
        <w:rPr>
          <w:sz w:val="24"/>
          <w:szCs w:val="24"/>
        </w:rPr>
        <w:t>+ X</w:t>
      </w:r>
      <w:r>
        <w:rPr>
          <w:sz w:val="24"/>
          <w:szCs w:val="24"/>
          <w:vertAlign w:val="subscript"/>
        </w:rPr>
        <w:t>t-1</w:t>
      </w:r>
      <w:r>
        <w:rPr>
          <w:sz w:val="24"/>
          <w:szCs w:val="24"/>
        </w:rPr>
        <w:t xml:space="preserve">β + </w:t>
      </w:r>
      <w:proofErr w:type="spellStart"/>
      <w:r>
        <w:rPr>
          <w:sz w:val="24"/>
          <w:szCs w:val="24"/>
        </w:rPr>
        <w:t>α</w:t>
      </w:r>
      <w:r>
        <w:rPr>
          <w:sz w:val="24"/>
          <w:szCs w:val="24"/>
          <w:vertAlign w:val="subscript"/>
        </w:rPr>
        <w:t>i</w:t>
      </w:r>
      <w:proofErr w:type="spellEnd"/>
      <w:r>
        <w:rPr>
          <w:sz w:val="24"/>
          <w:szCs w:val="24"/>
        </w:rPr>
        <w:t xml:space="preserve"> + </w:t>
      </w:r>
      <w:proofErr w:type="spellStart"/>
      <w:r>
        <w:rPr>
          <w:sz w:val="24"/>
          <w:szCs w:val="24"/>
        </w:rPr>
        <w:t>u</w:t>
      </w:r>
      <w:r>
        <w:rPr>
          <w:sz w:val="24"/>
          <w:szCs w:val="24"/>
          <w:vertAlign w:val="subscript"/>
        </w:rPr>
        <w:t>it</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683E88" w:rsidRDefault="00D87BB8" w:rsidP="00D87BB8">
      <w:pPr>
        <w:spacing w:line="480" w:lineRule="auto"/>
        <w:rPr>
          <w:sz w:val="24"/>
          <w:szCs w:val="24"/>
        </w:rPr>
      </w:pPr>
      <w:proofErr w:type="spellStart"/>
      <w:r>
        <w:rPr>
          <w:sz w:val="24"/>
          <w:szCs w:val="24"/>
        </w:rPr>
        <w:lastRenderedPageBreak/>
        <w:t>M</w:t>
      </w:r>
      <w:r>
        <w:rPr>
          <w:sz w:val="24"/>
          <w:szCs w:val="24"/>
          <w:vertAlign w:val="subscript"/>
        </w:rPr>
        <w:t>it</w:t>
      </w:r>
      <w:proofErr w:type="spellEnd"/>
      <w:r>
        <w:rPr>
          <w:sz w:val="24"/>
          <w:szCs w:val="24"/>
        </w:rPr>
        <w:t xml:space="preserve">* is a latent variable for the propensity to move for person </w:t>
      </w:r>
      <w:proofErr w:type="spellStart"/>
      <w:r>
        <w:rPr>
          <w:sz w:val="24"/>
          <w:szCs w:val="24"/>
        </w:rPr>
        <w:t>i</w:t>
      </w:r>
      <w:proofErr w:type="spellEnd"/>
      <w:r>
        <w:rPr>
          <w:sz w:val="24"/>
          <w:szCs w:val="24"/>
        </w:rPr>
        <w:t xml:space="preserve"> between years t-1 and t, with movement taking place when </w:t>
      </w:r>
      <w:proofErr w:type="spellStart"/>
      <w:r>
        <w:rPr>
          <w:sz w:val="24"/>
          <w:szCs w:val="24"/>
        </w:rPr>
        <w:t>M</w:t>
      </w:r>
      <w:r>
        <w:rPr>
          <w:sz w:val="24"/>
          <w:szCs w:val="24"/>
          <w:vertAlign w:val="subscript"/>
        </w:rPr>
        <w:t>it</w:t>
      </w:r>
      <w:proofErr w:type="spellEnd"/>
      <w:r>
        <w:rPr>
          <w:sz w:val="24"/>
          <w:szCs w:val="24"/>
        </w:rPr>
        <w:t>*&gt;0; q</w:t>
      </w:r>
      <w:r>
        <w:rPr>
          <w:sz w:val="24"/>
          <w:szCs w:val="24"/>
          <w:vertAlign w:val="subscript"/>
        </w:rPr>
        <w:t xml:space="preserve">it-1 </w:t>
      </w:r>
      <w:r>
        <w:rPr>
          <w:sz w:val="24"/>
          <w:szCs w:val="24"/>
        </w:rPr>
        <w:t>is the equity ratio in year t-1; the vector X</w:t>
      </w:r>
      <w:r>
        <w:rPr>
          <w:sz w:val="24"/>
          <w:szCs w:val="24"/>
          <w:vertAlign w:val="subscript"/>
        </w:rPr>
        <w:t>t-1</w:t>
      </w:r>
      <w:r>
        <w:rPr>
          <w:sz w:val="24"/>
          <w:szCs w:val="24"/>
        </w:rPr>
        <w:t xml:space="preserve"> contains other relevant variables affecting the propensity to move</w:t>
      </w:r>
      <w:r w:rsidR="002A34F7">
        <w:rPr>
          <w:sz w:val="24"/>
          <w:szCs w:val="24"/>
        </w:rPr>
        <w:t>, including our measure of relative house price</w:t>
      </w:r>
      <w:r>
        <w:rPr>
          <w:sz w:val="24"/>
          <w:szCs w:val="24"/>
        </w:rPr>
        <w:t xml:space="preserve">; </w:t>
      </w:r>
      <w:proofErr w:type="spellStart"/>
      <w:r>
        <w:rPr>
          <w:sz w:val="24"/>
          <w:szCs w:val="24"/>
        </w:rPr>
        <w:t>α</w:t>
      </w:r>
      <w:r>
        <w:rPr>
          <w:sz w:val="24"/>
          <w:szCs w:val="24"/>
          <w:vertAlign w:val="subscript"/>
        </w:rPr>
        <w:t>i</w:t>
      </w:r>
      <w:proofErr w:type="spellEnd"/>
      <w:r>
        <w:rPr>
          <w:sz w:val="24"/>
          <w:szCs w:val="24"/>
        </w:rPr>
        <w:t xml:space="preserve"> is person-specific fixed effect</w:t>
      </w:r>
      <w:r w:rsidR="0042031D">
        <w:rPr>
          <w:sz w:val="24"/>
          <w:szCs w:val="24"/>
        </w:rPr>
        <w:t xml:space="preserve"> (</w:t>
      </w:r>
      <w:proofErr w:type="spellStart"/>
      <w:r w:rsidR="0042031D">
        <w:rPr>
          <w:sz w:val="24"/>
          <w:szCs w:val="24"/>
        </w:rPr>
        <w:t>α</w:t>
      </w:r>
      <w:r w:rsidR="0042031D">
        <w:rPr>
          <w:sz w:val="24"/>
          <w:szCs w:val="24"/>
          <w:vertAlign w:val="subscript"/>
        </w:rPr>
        <w:t>i</w:t>
      </w:r>
      <w:proofErr w:type="spellEnd"/>
      <w:r w:rsidR="0042031D">
        <w:rPr>
          <w:sz w:val="24"/>
          <w:szCs w:val="24"/>
        </w:rPr>
        <w:t xml:space="preserve"> may be correlated with q</w:t>
      </w:r>
      <w:r w:rsidR="0042031D">
        <w:rPr>
          <w:sz w:val="24"/>
          <w:szCs w:val="24"/>
          <w:vertAlign w:val="subscript"/>
        </w:rPr>
        <w:t>it-1</w:t>
      </w:r>
      <w:r w:rsidR="0042031D">
        <w:rPr>
          <w:sz w:val="24"/>
          <w:szCs w:val="24"/>
        </w:rPr>
        <w:t xml:space="preserve"> and X</w:t>
      </w:r>
      <w:r w:rsidR="0042031D">
        <w:rPr>
          <w:sz w:val="24"/>
          <w:szCs w:val="24"/>
          <w:vertAlign w:val="subscript"/>
        </w:rPr>
        <w:t>t-1</w:t>
      </w:r>
      <w:r w:rsidR="00CE71BD">
        <w:rPr>
          <w:sz w:val="24"/>
          <w:szCs w:val="24"/>
        </w:rPr>
        <w:t>);</w:t>
      </w:r>
      <w:r>
        <w:rPr>
          <w:sz w:val="24"/>
          <w:szCs w:val="24"/>
        </w:rPr>
        <w:t xml:space="preserve"> and </w:t>
      </w:r>
      <w:proofErr w:type="spellStart"/>
      <w:r>
        <w:rPr>
          <w:sz w:val="24"/>
          <w:szCs w:val="24"/>
        </w:rPr>
        <w:t>u</w:t>
      </w:r>
      <w:r>
        <w:rPr>
          <w:sz w:val="24"/>
          <w:szCs w:val="24"/>
          <w:vertAlign w:val="subscript"/>
        </w:rPr>
        <w:t>it</w:t>
      </w:r>
      <w:proofErr w:type="spellEnd"/>
      <w:r>
        <w:rPr>
          <w:sz w:val="24"/>
          <w:szCs w:val="24"/>
        </w:rPr>
        <w:t xml:space="preserve"> captures unmeasured residual influences on movement, </w:t>
      </w:r>
      <w:r w:rsidR="00CE71BD">
        <w:rPr>
          <w:sz w:val="24"/>
          <w:szCs w:val="24"/>
        </w:rPr>
        <w:t xml:space="preserve">where </w:t>
      </w:r>
      <w:proofErr w:type="spellStart"/>
      <w:r w:rsidR="00CE71BD">
        <w:rPr>
          <w:sz w:val="24"/>
          <w:szCs w:val="24"/>
        </w:rPr>
        <w:t>u</w:t>
      </w:r>
      <w:r w:rsidR="00CE71BD">
        <w:rPr>
          <w:sz w:val="24"/>
          <w:szCs w:val="24"/>
          <w:vertAlign w:val="subscript"/>
        </w:rPr>
        <w:t>it</w:t>
      </w:r>
      <w:proofErr w:type="spellEnd"/>
      <w:r>
        <w:rPr>
          <w:sz w:val="24"/>
          <w:szCs w:val="24"/>
        </w:rPr>
        <w:t xml:space="preserve"> is assumed to have a logistic distribution.</w:t>
      </w:r>
      <w:r w:rsidR="0029214F">
        <w:rPr>
          <w:sz w:val="24"/>
          <w:szCs w:val="24"/>
        </w:rPr>
        <w:t xml:space="preserve">  While the impact of the equity ratio is taken to be linear in equation (1), we consider other formulations, including categorical variables and linear </w:t>
      </w:r>
      <w:proofErr w:type="spellStart"/>
      <w:r w:rsidR="0029214F">
        <w:rPr>
          <w:sz w:val="24"/>
          <w:szCs w:val="24"/>
        </w:rPr>
        <w:t>splines</w:t>
      </w:r>
      <w:proofErr w:type="spellEnd"/>
      <w:r w:rsidR="0029214F">
        <w:rPr>
          <w:sz w:val="24"/>
          <w:szCs w:val="24"/>
        </w:rPr>
        <w:t xml:space="preserve">.  </w:t>
      </w:r>
    </w:p>
    <w:p w:rsidR="00D87BB8" w:rsidRPr="00D87BB8" w:rsidRDefault="0029214F" w:rsidP="00B06619">
      <w:pPr>
        <w:spacing w:line="480" w:lineRule="auto"/>
        <w:ind w:firstLine="720"/>
        <w:rPr>
          <w:sz w:val="24"/>
          <w:szCs w:val="24"/>
        </w:rPr>
      </w:pPr>
      <w:r>
        <w:rPr>
          <w:sz w:val="24"/>
          <w:szCs w:val="24"/>
        </w:rPr>
        <w:t>T</w:t>
      </w:r>
      <w:r w:rsidR="00A42DEC">
        <w:rPr>
          <w:sz w:val="24"/>
          <w:szCs w:val="24"/>
        </w:rPr>
        <w:t>he parameters are identified from a sample of women with at least one move among which some have at least two moves</w:t>
      </w:r>
      <w:r>
        <w:rPr>
          <w:sz w:val="24"/>
          <w:szCs w:val="24"/>
        </w:rPr>
        <w:t xml:space="preserve">.  This means that </w:t>
      </w:r>
      <w:r w:rsidR="004737C1">
        <w:rPr>
          <w:sz w:val="24"/>
          <w:szCs w:val="24"/>
        </w:rPr>
        <w:t xml:space="preserve">an individual must be </w:t>
      </w:r>
      <w:r w:rsidR="007074CE">
        <w:rPr>
          <w:sz w:val="24"/>
          <w:szCs w:val="24"/>
        </w:rPr>
        <w:t xml:space="preserve">observed at risk of a move in at least two spells with different </w:t>
      </w:r>
      <w:r w:rsidR="00B876D1">
        <w:rPr>
          <w:sz w:val="24"/>
          <w:szCs w:val="24"/>
        </w:rPr>
        <w:t xml:space="preserve">values of the </w:t>
      </w:r>
      <w:proofErr w:type="spellStart"/>
      <w:r w:rsidR="00B876D1">
        <w:rPr>
          <w:sz w:val="24"/>
          <w:szCs w:val="24"/>
        </w:rPr>
        <w:t>explantory</w:t>
      </w:r>
      <w:proofErr w:type="spellEnd"/>
      <w:r w:rsidR="007074CE">
        <w:rPr>
          <w:sz w:val="24"/>
          <w:szCs w:val="24"/>
        </w:rPr>
        <w:t xml:space="preserve"> variables.</w:t>
      </w:r>
      <w:r w:rsidR="004737C1">
        <w:rPr>
          <w:sz w:val="24"/>
          <w:szCs w:val="24"/>
        </w:rPr>
        <w:t xml:space="preserve">  </w:t>
      </w:r>
      <w:r w:rsidR="00A42DEC">
        <w:rPr>
          <w:sz w:val="24"/>
          <w:szCs w:val="24"/>
        </w:rPr>
        <w:t xml:space="preserve">Among </w:t>
      </w:r>
      <w:r w:rsidR="00B06619">
        <w:rPr>
          <w:sz w:val="24"/>
          <w:szCs w:val="24"/>
        </w:rPr>
        <w:t>women</w:t>
      </w:r>
      <w:r w:rsidR="00683E88">
        <w:rPr>
          <w:sz w:val="24"/>
          <w:szCs w:val="24"/>
        </w:rPr>
        <w:t xml:space="preserve"> who </w:t>
      </w:r>
      <w:r w:rsidR="00B06619">
        <w:rPr>
          <w:sz w:val="24"/>
          <w:szCs w:val="24"/>
        </w:rPr>
        <w:t>have at least one move</w:t>
      </w:r>
      <w:r w:rsidR="00A42DEC">
        <w:rPr>
          <w:sz w:val="24"/>
          <w:szCs w:val="24"/>
        </w:rPr>
        <w:t>,</w:t>
      </w:r>
      <w:r w:rsidR="00B06619">
        <w:rPr>
          <w:sz w:val="24"/>
          <w:szCs w:val="24"/>
        </w:rPr>
        <w:t xml:space="preserve"> </w:t>
      </w:r>
      <w:r w:rsidR="00A42DEC">
        <w:rPr>
          <w:sz w:val="24"/>
          <w:szCs w:val="24"/>
        </w:rPr>
        <w:t>one-half</w:t>
      </w:r>
      <w:r w:rsidR="00B06619">
        <w:rPr>
          <w:sz w:val="24"/>
          <w:szCs w:val="24"/>
        </w:rPr>
        <w:t xml:space="preserve"> of the observations are from women with 2 or more moves</w:t>
      </w:r>
      <w:r w:rsidR="00A42DEC">
        <w:rPr>
          <w:sz w:val="24"/>
          <w:szCs w:val="24"/>
        </w:rPr>
        <w:t xml:space="preserve"> </w:t>
      </w:r>
      <w:r w:rsidR="00506139">
        <w:rPr>
          <w:sz w:val="24"/>
          <w:szCs w:val="24"/>
        </w:rPr>
        <w:t xml:space="preserve">in the panel </w:t>
      </w:r>
      <w:r w:rsidR="00A42DEC">
        <w:rPr>
          <w:sz w:val="24"/>
          <w:szCs w:val="24"/>
        </w:rPr>
        <w:t>(35% have only two and the remaining 15% have more than 2 moves)</w:t>
      </w:r>
      <w:r w:rsidR="00B06619">
        <w:rPr>
          <w:sz w:val="24"/>
          <w:szCs w:val="24"/>
        </w:rPr>
        <w:t xml:space="preserve">.  </w:t>
      </w:r>
      <w:r w:rsidR="004737C1">
        <w:rPr>
          <w:sz w:val="24"/>
          <w:szCs w:val="24"/>
        </w:rPr>
        <w:t xml:space="preserve">Appendix B shows descriptive statistics.  Table B1 </w:t>
      </w:r>
      <w:r w:rsidR="00EF3F54">
        <w:rPr>
          <w:sz w:val="24"/>
          <w:szCs w:val="24"/>
        </w:rPr>
        <w:t>provides</w:t>
      </w:r>
      <w:r w:rsidR="004737C1">
        <w:rPr>
          <w:sz w:val="24"/>
          <w:szCs w:val="24"/>
        </w:rPr>
        <w:t xml:space="preserve"> these for the observatio</w:t>
      </w:r>
      <w:r w:rsidR="00EF3F54">
        <w:rPr>
          <w:sz w:val="24"/>
          <w:szCs w:val="24"/>
        </w:rPr>
        <w:t>ns that are used in estimating the</w:t>
      </w:r>
      <w:r w:rsidR="004737C1">
        <w:rPr>
          <w:sz w:val="24"/>
          <w:szCs w:val="24"/>
        </w:rPr>
        <w:t xml:space="preserve"> conditional (fixed effects) </w:t>
      </w:r>
      <w:proofErr w:type="spellStart"/>
      <w:r w:rsidR="004737C1">
        <w:rPr>
          <w:sz w:val="24"/>
          <w:szCs w:val="24"/>
        </w:rPr>
        <w:t>logit</w:t>
      </w:r>
      <w:proofErr w:type="spellEnd"/>
      <w:r w:rsidR="004737C1">
        <w:rPr>
          <w:sz w:val="24"/>
          <w:szCs w:val="24"/>
        </w:rPr>
        <w:t xml:space="preserve"> model, </w:t>
      </w:r>
      <w:r w:rsidR="005D13FF">
        <w:rPr>
          <w:sz w:val="24"/>
          <w:szCs w:val="24"/>
        </w:rPr>
        <w:t xml:space="preserve">and </w:t>
      </w:r>
      <w:r w:rsidR="004737C1">
        <w:rPr>
          <w:sz w:val="24"/>
          <w:szCs w:val="24"/>
        </w:rPr>
        <w:t xml:space="preserve">Table B2 shows the statistics for the full sample, including </w:t>
      </w:r>
      <w:r w:rsidR="00B876D1">
        <w:rPr>
          <w:sz w:val="24"/>
          <w:szCs w:val="24"/>
        </w:rPr>
        <w:t xml:space="preserve">persons who never move and </w:t>
      </w:r>
      <w:r w:rsidR="004737C1">
        <w:rPr>
          <w:sz w:val="24"/>
          <w:szCs w:val="24"/>
        </w:rPr>
        <w:t>those who move in the only pair</w:t>
      </w:r>
      <w:r w:rsidR="00683E88">
        <w:rPr>
          <w:sz w:val="24"/>
          <w:szCs w:val="24"/>
        </w:rPr>
        <w:t>(s)</w:t>
      </w:r>
      <w:r w:rsidR="004737C1">
        <w:rPr>
          <w:sz w:val="24"/>
          <w:szCs w:val="24"/>
        </w:rPr>
        <w:t xml:space="preserve"> of years that we observe them.</w:t>
      </w:r>
      <w:r w:rsidR="005D13FF">
        <w:rPr>
          <w:sz w:val="24"/>
          <w:szCs w:val="24"/>
        </w:rPr>
        <w:t xml:space="preserve">  As must be the case, the estimation sample has a much higher movement rate, 17.9% compared with 8.4%, and of course a lower average residential tenure, 4.1 years compared with 6.4 years.  </w:t>
      </w:r>
    </w:p>
    <w:p w:rsidR="005F5CCF" w:rsidRDefault="00FC37D5" w:rsidP="00AF42E2">
      <w:pPr>
        <w:spacing w:line="480" w:lineRule="auto"/>
        <w:ind w:firstLine="720"/>
        <w:rPr>
          <w:sz w:val="24"/>
          <w:szCs w:val="24"/>
        </w:rPr>
      </w:pPr>
      <w:r>
        <w:rPr>
          <w:sz w:val="24"/>
          <w:szCs w:val="24"/>
        </w:rPr>
        <w:t xml:space="preserve">The first model in </w:t>
      </w:r>
      <w:r w:rsidR="00683E88">
        <w:rPr>
          <w:sz w:val="24"/>
          <w:szCs w:val="24"/>
        </w:rPr>
        <w:t xml:space="preserve">Table 2 shows </w:t>
      </w:r>
      <w:r w:rsidR="000B1089">
        <w:rPr>
          <w:sz w:val="24"/>
          <w:szCs w:val="24"/>
        </w:rPr>
        <w:t xml:space="preserve">estimates of the impact of the </w:t>
      </w:r>
      <w:r w:rsidR="00A214BB">
        <w:rPr>
          <w:sz w:val="24"/>
          <w:szCs w:val="24"/>
        </w:rPr>
        <w:t xml:space="preserve">same categories of the </w:t>
      </w:r>
      <w:r w:rsidR="000B1089">
        <w:rPr>
          <w:sz w:val="24"/>
          <w:szCs w:val="24"/>
        </w:rPr>
        <w:t xml:space="preserve">equity ratio </w:t>
      </w:r>
      <w:r w:rsidR="00C05F10">
        <w:rPr>
          <w:sz w:val="24"/>
          <w:szCs w:val="24"/>
        </w:rPr>
        <w:t>(</w:t>
      </w:r>
      <w:r w:rsidR="000B1089">
        <w:rPr>
          <w:sz w:val="24"/>
          <w:szCs w:val="24"/>
        </w:rPr>
        <w:t>fro</w:t>
      </w:r>
      <w:r w:rsidR="00C05F10">
        <w:rPr>
          <w:sz w:val="24"/>
          <w:szCs w:val="24"/>
        </w:rPr>
        <w:t xml:space="preserve">m a conditional </w:t>
      </w:r>
      <w:proofErr w:type="spellStart"/>
      <w:r w:rsidR="000B1089">
        <w:rPr>
          <w:sz w:val="24"/>
          <w:szCs w:val="24"/>
        </w:rPr>
        <w:t>logit</w:t>
      </w:r>
      <w:proofErr w:type="spellEnd"/>
      <w:r w:rsidR="000B1089">
        <w:rPr>
          <w:sz w:val="24"/>
          <w:szCs w:val="24"/>
        </w:rPr>
        <w:t xml:space="preserve"> model</w:t>
      </w:r>
      <w:r w:rsidR="00C05F10">
        <w:rPr>
          <w:sz w:val="24"/>
          <w:szCs w:val="24"/>
        </w:rPr>
        <w:t xml:space="preserve">) as in </w:t>
      </w:r>
      <w:r w:rsidR="00683E88">
        <w:rPr>
          <w:sz w:val="24"/>
          <w:szCs w:val="24"/>
        </w:rPr>
        <w:t>Table 1</w:t>
      </w:r>
      <w:r w:rsidR="000B1089">
        <w:rPr>
          <w:sz w:val="24"/>
          <w:szCs w:val="24"/>
        </w:rPr>
        <w:t>.  I</w:t>
      </w:r>
      <w:r w:rsidR="00AF42E2">
        <w:rPr>
          <w:sz w:val="24"/>
          <w:szCs w:val="24"/>
        </w:rPr>
        <w:t>n contrast to Table 1, i</w:t>
      </w:r>
      <w:r w:rsidR="000B1089">
        <w:rPr>
          <w:sz w:val="24"/>
          <w:szCs w:val="24"/>
        </w:rPr>
        <w:t xml:space="preserve">t indicates </w:t>
      </w:r>
      <w:r w:rsidR="00A214BB">
        <w:rPr>
          <w:sz w:val="24"/>
          <w:szCs w:val="24"/>
        </w:rPr>
        <w:t>a tendency for th</w:t>
      </w:r>
      <w:r w:rsidR="00AF42E2">
        <w:rPr>
          <w:sz w:val="24"/>
          <w:szCs w:val="24"/>
        </w:rPr>
        <w:t>ose with equity ratios below 0.1</w:t>
      </w:r>
      <w:r w:rsidR="00A214BB">
        <w:rPr>
          <w:sz w:val="24"/>
          <w:szCs w:val="24"/>
        </w:rPr>
        <w:t xml:space="preserve">0 to be less likely to move.  </w:t>
      </w:r>
      <w:r>
        <w:rPr>
          <w:sz w:val="24"/>
          <w:szCs w:val="24"/>
        </w:rPr>
        <w:t xml:space="preserve">As suggested earlier, we might expect the equity ratio to have a larger effect on movement for those with low levels of equity </w:t>
      </w:r>
      <w:r w:rsidR="005863EF">
        <w:rPr>
          <w:sz w:val="24"/>
          <w:szCs w:val="24"/>
        </w:rPr>
        <w:t xml:space="preserve">than those with higher </w:t>
      </w:r>
      <w:r w:rsidR="005863EF">
        <w:rPr>
          <w:sz w:val="24"/>
          <w:szCs w:val="24"/>
        </w:rPr>
        <w:lastRenderedPageBreak/>
        <w:t xml:space="preserve">equity </w:t>
      </w:r>
      <w:r>
        <w:rPr>
          <w:sz w:val="24"/>
          <w:szCs w:val="24"/>
        </w:rPr>
        <w:t xml:space="preserve">because of the operation of the down-payment constraint. </w:t>
      </w:r>
      <w:r w:rsidR="00C05F10">
        <w:rPr>
          <w:sz w:val="24"/>
          <w:szCs w:val="24"/>
        </w:rPr>
        <w:t xml:space="preserve"> Model 2 examines this hypothesis by using a linear </w:t>
      </w:r>
      <w:proofErr w:type="spellStart"/>
      <w:r w:rsidR="00C05F10">
        <w:rPr>
          <w:sz w:val="24"/>
          <w:szCs w:val="24"/>
        </w:rPr>
        <w:t>spline</w:t>
      </w:r>
      <w:proofErr w:type="spellEnd"/>
      <w:r w:rsidR="00C05F10">
        <w:rPr>
          <w:sz w:val="24"/>
          <w:szCs w:val="24"/>
        </w:rPr>
        <w:t xml:space="preserve"> for the four categories of equity ratio.</w:t>
      </w:r>
    </w:p>
    <w:p w:rsidR="00B876D1" w:rsidRDefault="001E5AEB" w:rsidP="004E028F">
      <w:pPr>
        <w:spacing w:line="480" w:lineRule="auto"/>
        <w:ind w:firstLine="720"/>
        <w:rPr>
          <w:sz w:val="24"/>
          <w:szCs w:val="24"/>
        </w:rPr>
      </w:pPr>
      <w:r w:rsidRPr="001E5AEB">
        <w:rPr>
          <w:sz w:val="24"/>
          <w:szCs w:val="24"/>
        </w:rPr>
        <w:t xml:space="preserve">Model 2 shows imprecisely estimated effects of the equity ratio, statistically indistinguishable from zero, for levels of housing equity below 20 percent, but strong </w:t>
      </w:r>
      <w:r w:rsidR="00B876D1">
        <w:rPr>
          <w:sz w:val="24"/>
          <w:szCs w:val="24"/>
        </w:rPr>
        <w:t xml:space="preserve">positive </w:t>
      </w:r>
      <w:r w:rsidRPr="001E5AEB">
        <w:rPr>
          <w:sz w:val="24"/>
          <w:szCs w:val="24"/>
        </w:rPr>
        <w:t>effects of increases in equity above that level.</w:t>
      </w:r>
      <w:r w:rsidRPr="001E5AEB">
        <w:rPr>
          <w:sz w:val="24"/>
          <w:szCs w:val="24"/>
          <w:vertAlign w:val="superscript"/>
        </w:rPr>
        <w:footnoteReference w:id="8"/>
      </w:r>
      <w:r w:rsidRPr="001E5AEB">
        <w:rPr>
          <w:sz w:val="24"/>
          <w:szCs w:val="24"/>
        </w:rPr>
        <w:t xml:space="preserve">  The imprecision reflects the relatively small samples for equity ratios below 0.20 (see Table 1).  Model 3 estimates a two-part </w:t>
      </w:r>
      <w:proofErr w:type="spellStart"/>
      <w:r w:rsidRPr="001E5AEB">
        <w:rPr>
          <w:sz w:val="24"/>
          <w:szCs w:val="24"/>
        </w:rPr>
        <w:t>spline</w:t>
      </w:r>
      <w:proofErr w:type="spellEnd"/>
      <w:r w:rsidRPr="001E5AEB">
        <w:rPr>
          <w:sz w:val="24"/>
          <w:szCs w:val="24"/>
        </w:rPr>
        <w:t xml:space="preserve"> for equity ratios below and above 0.20, and finds a </w:t>
      </w:r>
      <w:r w:rsidR="00B876D1">
        <w:rPr>
          <w:sz w:val="24"/>
          <w:szCs w:val="24"/>
        </w:rPr>
        <w:t>similar</w:t>
      </w:r>
      <w:r w:rsidRPr="001E5AEB">
        <w:rPr>
          <w:sz w:val="24"/>
          <w:szCs w:val="24"/>
        </w:rPr>
        <w:t xml:space="preserve"> impact of the equity ratio for </w:t>
      </w:r>
      <w:r w:rsidR="00B876D1">
        <w:rPr>
          <w:sz w:val="24"/>
          <w:szCs w:val="24"/>
        </w:rPr>
        <w:t>th</w:t>
      </w:r>
      <w:r w:rsidR="00517E0D">
        <w:rPr>
          <w:sz w:val="24"/>
          <w:szCs w:val="24"/>
        </w:rPr>
        <w:t>e two groups</w:t>
      </w:r>
      <w:r w:rsidRPr="001E5AEB">
        <w:rPr>
          <w:sz w:val="24"/>
          <w:szCs w:val="24"/>
        </w:rPr>
        <w:t>.  We cannot reject the hypothesis that the equity ratio has the same effe</w:t>
      </w:r>
      <w:r w:rsidR="00B876D1">
        <w:rPr>
          <w:sz w:val="24"/>
          <w:szCs w:val="24"/>
        </w:rPr>
        <w:t>cts at both levels (p-value=0.97</w:t>
      </w:r>
      <w:r w:rsidRPr="001E5AEB">
        <w:rPr>
          <w:sz w:val="24"/>
          <w:szCs w:val="24"/>
        </w:rPr>
        <w:t>), and we constrain this to be so in Model 4</w:t>
      </w:r>
      <w:r w:rsidR="005145A7">
        <w:rPr>
          <w:rStyle w:val="FootnoteReference"/>
          <w:sz w:val="24"/>
          <w:szCs w:val="24"/>
        </w:rPr>
        <w:footnoteReference w:id="9"/>
      </w:r>
      <w:r w:rsidRPr="001E5AEB">
        <w:rPr>
          <w:sz w:val="24"/>
          <w:szCs w:val="24"/>
        </w:rPr>
        <w:t xml:space="preserve">.  </w:t>
      </w:r>
      <w:r w:rsidR="00CB595B">
        <w:rPr>
          <w:sz w:val="24"/>
          <w:szCs w:val="24"/>
        </w:rPr>
        <w:t>When using men as marker</w:t>
      </w:r>
      <w:r w:rsidR="00E816FB">
        <w:rPr>
          <w:sz w:val="24"/>
          <w:szCs w:val="24"/>
        </w:rPr>
        <w:t xml:space="preserve">s, the estimate of the equity ratio parameter from Model 4 is </w:t>
      </w:r>
      <w:r w:rsidR="005617E6">
        <w:rPr>
          <w:sz w:val="24"/>
          <w:szCs w:val="24"/>
        </w:rPr>
        <w:t>1.49</w:t>
      </w:r>
      <w:r w:rsidR="00E816FB">
        <w:rPr>
          <w:sz w:val="24"/>
          <w:szCs w:val="24"/>
        </w:rPr>
        <w:t xml:space="preserve"> (SE=0.54) compared with 1.62 in Table 2.</w:t>
      </w:r>
    </w:p>
    <w:p w:rsidR="00C528A4" w:rsidRPr="0037742F" w:rsidRDefault="00C528A4" w:rsidP="00C528A4">
      <w:pPr>
        <w:rPr>
          <w:sz w:val="24"/>
          <w:szCs w:val="24"/>
        </w:rPr>
      </w:pPr>
      <w:r>
        <w:rPr>
          <w:sz w:val="24"/>
          <w:szCs w:val="24"/>
        </w:rPr>
        <w:br w:type="page"/>
      </w:r>
      <w:r w:rsidRPr="00DD1D4E">
        <w:rPr>
          <w:b/>
          <w:sz w:val="24"/>
          <w:szCs w:val="24"/>
        </w:rPr>
        <w:lastRenderedPageBreak/>
        <w:t>Table 2: Fi</w:t>
      </w:r>
      <w:r>
        <w:rPr>
          <w:b/>
          <w:sz w:val="24"/>
          <w:szCs w:val="24"/>
        </w:rPr>
        <w:t xml:space="preserve">xed Effect </w:t>
      </w:r>
      <w:proofErr w:type="spellStart"/>
      <w:r>
        <w:rPr>
          <w:b/>
          <w:sz w:val="24"/>
          <w:szCs w:val="24"/>
        </w:rPr>
        <w:t>Logit</w:t>
      </w:r>
      <w:proofErr w:type="spellEnd"/>
      <w:r>
        <w:rPr>
          <w:b/>
          <w:sz w:val="24"/>
          <w:szCs w:val="24"/>
        </w:rPr>
        <w:t xml:space="preserve"> Estimates of I</w:t>
      </w:r>
      <w:r w:rsidRPr="00DD1D4E">
        <w:rPr>
          <w:b/>
          <w:sz w:val="24"/>
          <w:szCs w:val="24"/>
        </w:rPr>
        <w:t xml:space="preserve">mpact </w:t>
      </w:r>
      <w:r>
        <w:rPr>
          <w:b/>
          <w:sz w:val="24"/>
          <w:szCs w:val="24"/>
        </w:rPr>
        <w:t xml:space="preserve">the </w:t>
      </w:r>
      <w:r w:rsidRPr="00DD1D4E">
        <w:rPr>
          <w:b/>
          <w:sz w:val="24"/>
          <w:szCs w:val="24"/>
        </w:rPr>
        <w:t xml:space="preserve">Equity Ratio (q) </w:t>
      </w:r>
      <w:r>
        <w:rPr>
          <w:b/>
          <w:sz w:val="24"/>
          <w:szCs w:val="24"/>
        </w:rPr>
        <w:t xml:space="preserve">and house prices </w:t>
      </w:r>
      <w:r w:rsidRPr="00DD1D4E">
        <w:rPr>
          <w:b/>
          <w:sz w:val="24"/>
          <w:szCs w:val="24"/>
        </w:rPr>
        <w:t xml:space="preserve">in </w:t>
      </w:r>
      <w:r>
        <w:rPr>
          <w:b/>
          <w:sz w:val="24"/>
          <w:szCs w:val="24"/>
        </w:rPr>
        <w:t xml:space="preserve">the </w:t>
      </w:r>
      <w:r w:rsidRPr="00DD1D4E">
        <w:rPr>
          <w:b/>
          <w:sz w:val="24"/>
          <w:szCs w:val="24"/>
        </w:rPr>
        <w:t>previous year on the log odds of residential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01"/>
        <w:gridCol w:w="1401"/>
        <w:gridCol w:w="1401"/>
        <w:gridCol w:w="1401"/>
      </w:tblGrid>
      <w:tr w:rsidR="00C528A4" w:rsidRPr="00FC0819" w:rsidTr="00C528A4">
        <w:tc>
          <w:tcPr>
            <w:tcW w:w="1809" w:type="dxa"/>
          </w:tcPr>
          <w:p w:rsidR="00C528A4" w:rsidRPr="00FC0819" w:rsidRDefault="00C528A4" w:rsidP="00C528A4">
            <w:pPr>
              <w:rPr>
                <w:sz w:val="24"/>
                <w:szCs w:val="24"/>
              </w:rPr>
            </w:pPr>
          </w:p>
        </w:tc>
        <w:tc>
          <w:tcPr>
            <w:tcW w:w="1401" w:type="dxa"/>
          </w:tcPr>
          <w:p w:rsidR="00C528A4" w:rsidRPr="005A7EF3" w:rsidRDefault="00C528A4" w:rsidP="00C528A4">
            <w:pPr>
              <w:jc w:val="center"/>
              <w:rPr>
                <w:b/>
                <w:sz w:val="24"/>
                <w:szCs w:val="24"/>
              </w:rPr>
            </w:pPr>
            <w:r>
              <w:rPr>
                <w:b/>
                <w:sz w:val="24"/>
                <w:szCs w:val="24"/>
              </w:rPr>
              <w:t>Model 1</w:t>
            </w:r>
          </w:p>
        </w:tc>
        <w:tc>
          <w:tcPr>
            <w:tcW w:w="1401" w:type="dxa"/>
          </w:tcPr>
          <w:p w:rsidR="00C528A4" w:rsidRPr="005A7EF3" w:rsidRDefault="00C528A4" w:rsidP="00C528A4">
            <w:pPr>
              <w:jc w:val="center"/>
              <w:rPr>
                <w:b/>
                <w:sz w:val="24"/>
                <w:szCs w:val="24"/>
              </w:rPr>
            </w:pPr>
            <w:r>
              <w:rPr>
                <w:b/>
                <w:sz w:val="24"/>
                <w:szCs w:val="24"/>
              </w:rPr>
              <w:t>Model 2</w:t>
            </w:r>
          </w:p>
        </w:tc>
        <w:tc>
          <w:tcPr>
            <w:tcW w:w="1401" w:type="dxa"/>
          </w:tcPr>
          <w:p w:rsidR="00C528A4" w:rsidRPr="005A7EF3" w:rsidRDefault="00C528A4" w:rsidP="00C528A4">
            <w:pPr>
              <w:jc w:val="center"/>
              <w:rPr>
                <w:b/>
                <w:sz w:val="24"/>
                <w:szCs w:val="24"/>
              </w:rPr>
            </w:pPr>
            <w:r>
              <w:rPr>
                <w:b/>
                <w:sz w:val="24"/>
                <w:szCs w:val="24"/>
              </w:rPr>
              <w:t>Model 3</w:t>
            </w:r>
          </w:p>
        </w:tc>
        <w:tc>
          <w:tcPr>
            <w:tcW w:w="1401" w:type="dxa"/>
          </w:tcPr>
          <w:p w:rsidR="00C528A4" w:rsidRPr="005A7EF3" w:rsidRDefault="00C528A4" w:rsidP="00C528A4">
            <w:pPr>
              <w:jc w:val="center"/>
              <w:rPr>
                <w:b/>
                <w:sz w:val="24"/>
                <w:szCs w:val="24"/>
              </w:rPr>
            </w:pPr>
            <w:r>
              <w:rPr>
                <w:b/>
                <w:sz w:val="24"/>
                <w:szCs w:val="24"/>
              </w:rPr>
              <w:t>Model 4</w:t>
            </w:r>
          </w:p>
        </w:tc>
      </w:tr>
      <w:tr w:rsidR="00C528A4" w:rsidRPr="00FC0819" w:rsidTr="00C528A4">
        <w:tc>
          <w:tcPr>
            <w:tcW w:w="1809" w:type="dxa"/>
          </w:tcPr>
          <w:p w:rsidR="00C528A4" w:rsidRPr="00FC0819" w:rsidRDefault="00C528A4" w:rsidP="00C528A4">
            <w:pPr>
              <w:rPr>
                <w:sz w:val="24"/>
                <w:szCs w:val="24"/>
              </w:rPr>
            </w:pPr>
            <w:r w:rsidRPr="005A7EF3">
              <w:rPr>
                <w:b/>
                <w:sz w:val="24"/>
                <w:szCs w:val="24"/>
              </w:rPr>
              <w:t>0.10&lt;q≤0.20</w:t>
            </w:r>
          </w:p>
        </w:tc>
        <w:tc>
          <w:tcPr>
            <w:tcW w:w="1401" w:type="dxa"/>
          </w:tcPr>
          <w:p w:rsidR="00C528A4" w:rsidRDefault="00C528A4" w:rsidP="00C528A4">
            <w:pPr>
              <w:jc w:val="center"/>
              <w:rPr>
                <w:sz w:val="24"/>
                <w:szCs w:val="24"/>
              </w:rPr>
            </w:pPr>
            <w:r>
              <w:rPr>
                <w:sz w:val="24"/>
                <w:szCs w:val="24"/>
              </w:rPr>
              <w:t>-0.13</w:t>
            </w:r>
          </w:p>
          <w:p w:rsidR="00C528A4" w:rsidRPr="003C52FD" w:rsidRDefault="00C528A4" w:rsidP="00C528A4">
            <w:pPr>
              <w:jc w:val="center"/>
              <w:rPr>
                <w:sz w:val="24"/>
                <w:szCs w:val="24"/>
              </w:rPr>
            </w:pPr>
            <w:r>
              <w:rPr>
                <w:sz w:val="24"/>
                <w:szCs w:val="24"/>
              </w:rPr>
              <w:t>(0.21)</w:t>
            </w:r>
          </w:p>
        </w:tc>
        <w:tc>
          <w:tcPr>
            <w:tcW w:w="1401" w:type="dxa"/>
          </w:tcPr>
          <w:p w:rsidR="00C528A4" w:rsidRPr="003C52FD" w:rsidRDefault="00C528A4" w:rsidP="00C528A4">
            <w:pPr>
              <w:jc w:val="center"/>
              <w:rPr>
                <w:sz w:val="24"/>
                <w:szCs w:val="24"/>
              </w:rPr>
            </w:pPr>
          </w:p>
        </w:tc>
        <w:tc>
          <w:tcPr>
            <w:tcW w:w="1401" w:type="dxa"/>
          </w:tcPr>
          <w:p w:rsidR="00C528A4" w:rsidRPr="003C52FD" w:rsidRDefault="00C528A4" w:rsidP="00C528A4">
            <w:pPr>
              <w:jc w:val="center"/>
              <w:rPr>
                <w:sz w:val="24"/>
                <w:szCs w:val="24"/>
              </w:rPr>
            </w:pPr>
          </w:p>
        </w:tc>
        <w:tc>
          <w:tcPr>
            <w:tcW w:w="1401" w:type="dxa"/>
          </w:tcPr>
          <w:p w:rsidR="00C528A4" w:rsidRPr="003C52FD" w:rsidRDefault="00C528A4" w:rsidP="00C528A4">
            <w:pPr>
              <w:jc w:val="center"/>
              <w:rPr>
                <w:sz w:val="24"/>
                <w:szCs w:val="24"/>
              </w:rPr>
            </w:pPr>
          </w:p>
        </w:tc>
      </w:tr>
      <w:tr w:rsidR="00C528A4" w:rsidRPr="00FC0819" w:rsidTr="00C528A4">
        <w:tc>
          <w:tcPr>
            <w:tcW w:w="1809" w:type="dxa"/>
          </w:tcPr>
          <w:p w:rsidR="00C528A4" w:rsidRPr="00FC0819" w:rsidRDefault="00C528A4" w:rsidP="00C528A4">
            <w:pPr>
              <w:rPr>
                <w:sz w:val="24"/>
                <w:szCs w:val="24"/>
              </w:rPr>
            </w:pPr>
            <w:r w:rsidRPr="005A7EF3">
              <w:rPr>
                <w:b/>
                <w:sz w:val="24"/>
                <w:szCs w:val="24"/>
              </w:rPr>
              <w:t>0.05&lt;q≤0.10</w:t>
            </w:r>
          </w:p>
        </w:tc>
        <w:tc>
          <w:tcPr>
            <w:tcW w:w="1401" w:type="dxa"/>
          </w:tcPr>
          <w:p w:rsidR="00C528A4" w:rsidRDefault="00C528A4" w:rsidP="00C528A4">
            <w:pPr>
              <w:jc w:val="center"/>
              <w:rPr>
                <w:sz w:val="24"/>
                <w:szCs w:val="24"/>
              </w:rPr>
            </w:pPr>
            <w:r>
              <w:rPr>
                <w:sz w:val="24"/>
                <w:szCs w:val="24"/>
              </w:rPr>
              <w:t>-0.59</w:t>
            </w:r>
          </w:p>
          <w:p w:rsidR="00C528A4" w:rsidRPr="00FC0819" w:rsidRDefault="00C528A4" w:rsidP="00C528A4">
            <w:pPr>
              <w:jc w:val="center"/>
              <w:rPr>
                <w:sz w:val="24"/>
                <w:szCs w:val="24"/>
              </w:rPr>
            </w:pPr>
            <w:r>
              <w:rPr>
                <w:sz w:val="24"/>
                <w:szCs w:val="24"/>
              </w:rPr>
              <w:t>(0.34)</w:t>
            </w:r>
          </w:p>
        </w:tc>
        <w:tc>
          <w:tcPr>
            <w:tcW w:w="1401" w:type="dxa"/>
          </w:tcPr>
          <w:p w:rsidR="00C528A4" w:rsidRPr="00FC0819" w:rsidRDefault="00C528A4" w:rsidP="00C528A4">
            <w:pPr>
              <w:jc w:val="center"/>
              <w:rPr>
                <w:sz w:val="24"/>
                <w:szCs w:val="24"/>
              </w:rPr>
            </w:pPr>
          </w:p>
        </w:tc>
        <w:tc>
          <w:tcPr>
            <w:tcW w:w="1401" w:type="dxa"/>
          </w:tcPr>
          <w:p w:rsidR="00C528A4" w:rsidRPr="00FC0819" w:rsidRDefault="00C528A4" w:rsidP="00C528A4">
            <w:pPr>
              <w:jc w:val="center"/>
              <w:rPr>
                <w:sz w:val="24"/>
                <w:szCs w:val="24"/>
              </w:rPr>
            </w:pPr>
          </w:p>
        </w:tc>
        <w:tc>
          <w:tcPr>
            <w:tcW w:w="1401" w:type="dxa"/>
          </w:tcPr>
          <w:p w:rsidR="00C528A4" w:rsidRPr="00FC0819" w:rsidRDefault="00C528A4" w:rsidP="00C528A4">
            <w:pPr>
              <w:jc w:val="center"/>
              <w:rPr>
                <w:sz w:val="24"/>
                <w:szCs w:val="24"/>
              </w:rPr>
            </w:pPr>
          </w:p>
        </w:tc>
      </w:tr>
      <w:tr w:rsidR="00C528A4" w:rsidRPr="00FC0819" w:rsidTr="00C528A4">
        <w:tc>
          <w:tcPr>
            <w:tcW w:w="1809" w:type="dxa"/>
          </w:tcPr>
          <w:p w:rsidR="00C528A4" w:rsidRDefault="00C528A4" w:rsidP="00C528A4">
            <w:pPr>
              <w:rPr>
                <w:sz w:val="24"/>
                <w:szCs w:val="24"/>
              </w:rPr>
            </w:pPr>
            <w:r w:rsidRPr="005A7EF3">
              <w:rPr>
                <w:b/>
                <w:sz w:val="24"/>
                <w:szCs w:val="24"/>
              </w:rPr>
              <w:t>0.05&lt;q≤0</w:t>
            </w:r>
          </w:p>
        </w:tc>
        <w:tc>
          <w:tcPr>
            <w:tcW w:w="1401" w:type="dxa"/>
          </w:tcPr>
          <w:p w:rsidR="00C528A4" w:rsidRDefault="00C528A4" w:rsidP="00C528A4">
            <w:pPr>
              <w:jc w:val="center"/>
              <w:rPr>
                <w:sz w:val="24"/>
                <w:szCs w:val="24"/>
              </w:rPr>
            </w:pPr>
            <w:r>
              <w:rPr>
                <w:sz w:val="24"/>
                <w:szCs w:val="24"/>
              </w:rPr>
              <w:t>-0.65</w:t>
            </w:r>
          </w:p>
          <w:p w:rsidR="00C528A4" w:rsidRDefault="00C528A4" w:rsidP="00C528A4">
            <w:pPr>
              <w:jc w:val="center"/>
              <w:rPr>
                <w:sz w:val="24"/>
                <w:szCs w:val="24"/>
              </w:rPr>
            </w:pPr>
            <w:r>
              <w:rPr>
                <w:sz w:val="24"/>
                <w:szCs w:val="24"/>
              </w:rPr>
              <w:t>(0.39)</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sz w:val="24"/>
                <w:szCs w:val="24"/>
              </w:rPr>
            </w:pPr>
            <w:r w:rsidRPr="005A7EF3">
              <w:rPr>
                <w:b/>
                <w:sz w:val="24"/>
                <w:szCs w:val="24"/>
              </w:rPr>
              <w:t>q&lt;0</w:t>
            </w:r>
          </w:p>
        </w:tc>
        <w:tc>
          <w:tcPr>
            <w:tcW w:w="1401" w:type="dxa"/>
          </w:tcPr>
          <w:p w:rsidR="00C528A4" w:rsidRDefault="00C528A4" w:rsidP="00C528A4">
            <w:pPr>
              <w:jc w:val="center"/>
              <w:rPr>
                <w:sz w:val="24"/>
                <w:szCs w:val="24"/>
              </w:rPr>
            </w:pPr>
            <w:r>
              <w:rPr>
                <w:sz w:val="24"/>
                <w:szCs w:val="24"/>
              </w:rPr>
              <w:t>-0.53</w:t>
            </w:r>
          </w:p>
          <w:p w:rsidR="00C528A4" w:rsidRDefault="00C528A4" w:rsidP="00C528A4">
            <w:pPr>
              <w:jc w:val="center"/>
              <w:rPr>
                <w:sz w:val="24"/>
                <w:szCs w:val="24"/>
              </w:rPr>
            </w:pPr>
            <w:r>
              <w:rPr>
                <w:sz w:val="24"/>
                <w:szCs w:val="24"/>
              </w:rPr>
              <w:t>(0.57)</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b/>
                <w:sz w:val="24"/>
                <w:szCs w:val="24"/>
              </w:rPr>
            </w:pPr>
            <w:r>
              <w:rPr>
                <w:b/>
                <w:sz w:val="24"/>
                <w:szCs w:val="24"/>
              </w:rPr>
              <w:t xml:space="preserve">Linear </w:t>
            </w:r>
            <w:proofErr w:type="spellStart"/>
            <w:r>
              <w:rPr>
                <w:b/>
                <w:sz w:val="24"/>
                <w:szCs w:val="24"/>
              </w:rPr>
              <w:t>spline</w:t>
            </w:r>
            <w:proofErr w:type="spellEnd"/>
            <w:r>
              <w:rPr>
                <w:b/>
                <w:sz w:val="24"/>
                <w:szCs w:val="24"/>
              </w:rPr>
              <w:t>:</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sz w:val="24"/>
                <w:szCs w:val="24"/>
              </w:rPr>
            </w:pPr>
            <w:r w:rsidRPr="005A7EF3">
              <w:rPr>
                <w:b/>
                <w:sz w:val="24"/>
                <w:szCs w:val="24"/>
              </w:rPr>
              <w:t>q≤</w:t>
            </w:r>
            <w:r>
              <w:rPr>
                <w:b/>
                <w:sz w:val="24"/>
                <w:szCs w:val="24"/>
              </w:rPr>
              <w:t>0.05</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-0.57</w:t>
            </w:r>
          </w:p>
          <w:p w:rsidR="00C528A4" w:rsidRDefault="00C528A4" w:rsidP="00C528A4">
            <w:pPr>
              <w:jc w:val="center"/>
              <w:rPr>
                <w:sz w:val="24"/>
                <w:szCs w:val="24"/>
              </w:rPr>
            </w:pPr>
            <w:r>
              <w:rPr>
                <w:sz w:val="24"/>
                <w:szCs w:val="24"/>
              </w:rPr>
              <w:t>(3.16)</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Pr="00FC0819" w:rsidRDefault="00C528A4" w:rsidP="00C528A4">
            <w:pPr>
              <w:rPr>
                <w:sz w:val="24"/>
                <w:szCs w:val="24"/>
              </w:rPr>
            </w:pPr>
            <w:r w:rsidRPr="005A7EF3">
              <w:rPr>
                <w:b/>
                <w:sz w:val="24"/>
                <w:szCs w:val="24"/>
              </w:rPr>
              <w:t>0.05&lt;q≤0.10</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14.61</w:t>
            </w:r>
          </w:p>
          <w:p w:rsidR="00C528A4" w:rsidRDefault="00C528A4" w:rsidP="00C528A4">
            <w:pPr>
              <w:jc w:val="center"/>
              <w:rPr>
                <w:sz w:val="24"/>
                <w:szCs w:val="24"/>
              </w:rPr>
            </w:pPr>
            <w:r>
              <w:rPr>
                <w:sz w:val="24"/>
                <w:szCs w:val="24"/>
              </w:rPr>
              <w:t>(8.86)</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sz w:val="24"/>
                <w:szCs w:val="24"/>
              </w:rPr>
            </w:pPr>
            <w:r>
              <w:rPr>
                <w:b/>
                <w:sz w:val="24"/>
                <w:szCs w:val="24"/>
              </w:rPr>
              <w:t>0.10</w:t>
            </w:r>
            <w:r w:rsidRPr="005A7EF3">
              <w:rPr>
                <w:b/>
                <w:sz w:val="24"/>
                <w:szCs w:val="24"/>
              </w:rPr>
              <w:t>&lt;q≤0</w:t>
            </w:r>
            <w:r>
              <w:rPr>
                <w:b/>
                <w:sz w:val="24"/>
                <w:szCs w:val="24"/>
              </w:rPr>
              <w:t>.20</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-1.69</w:t>
            </w:r>
          </w:p>
          <w:p w:rsidR="00C528A4" w:rsidRDefault="00C528A4" w:rsidP="00C528A4">
            <w:pPr>
              <w:jc w:val="center"/>
              <w:rPr>
                <w:sz w:val="24"/>
                <w:szCs w:val="24"/>
              </w:rPr>
            </w:pPr>
            <w:r>
              <w:rPr>
                <w:sz w:val="24"/>
                <w:szCs w:val="24"/>
              </w:rPr>
              <w:t>(3.25)</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sz w:val="24"/>
                <w:szCs w:val="24"/>
              </w:rPr>
            </w:pPr>
            <w:r>
              <w:rPr>
                <w:b/>
                <w:sz w:val="24"/>
                <w:szCs w:val="24"/>
              </w:rPr>
              <w:t>q&gt;</w:t>
            </w:r>
            <w:r w:rsidRPr="005A7EF3">
              <w:rPr>
                <w:b/>
                <w:sz w:val="24"/>
                <w:szCs w:val="24"/>
              </w:rPr>
              <w:t>0</w:t>
            </w:r>
            <w:r>
              <w:rPr>
                <w:b/>
                <w:sz w:val="24"/>
                <w:szCs w:val="24"/>
              </w:rPr>
              <w:t>.20</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1.71</w:t>
            </w:r>
          </w:p>
          <w:p w:rsidR="00C528A4" w:rsidRDefault="00C528A4" w:rsidP="00C528A4">
            <w:pPr>
              <w:jc w:val="center"/>
              <w:rPr>
                <w:sz w:val="24"/>
                <w:szCs w:val="24"/>
              </w:rPr>
            </w:pPr>
            <w:r>
              <w:rPr>
                <w:sz w:val="24"/>
                <w:szCs w:val="24"/>
              </w:rPr>
              <w:t>(0.54)</w:t>
            </w:r>
          </w:p>
        </w:tc>
        <w:tc>
          <w:tcPr>
            <w:tcW w:w="1401" w:type="dxa"/>
          </w:tcPr>
          <w:p w:rsidR="00C528A4" w:rsidRDefault="00C528A4" w:rsidP="00C528A4">
            <w:pPr>
              <w:jc w:val="center"/>
              <w:rPr>
                <w:sz w:val="24"/>
                <w:szCs w:val="24"/>
              </w:rPr>
            </w:pPr>
            <w:r>
              <w:rPr>
                <w:sz w:val="24"/>
                <w:szCs w:val="24"/>
              </w:rPr>
              <w:t>1.61</w:t>
            </w:r>
          </w:p>
          <w:p w:rsidR="00C528A4" w:rsidRDefault="00C528A4" w:rsidP="00C528A4">
            <w:pPr>
              <w:jc w:val="center"/>
              <w:rPr>
                <w:sz w:val="24"/>
                <w:szCs w:val="24"/>
              </w:rPr>
            </w:pPr>
            <w:r>
              <w:rPr>
                <w:sz w:val="24"/>
                <w:szCs w:val="24"/>
              </w:rPr>
              <w:t>(0.53)</w:t>
            </w: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Default="00C528A4" w:rsidP="00C528A4">
            <w:pPr>
              <w:rPr>
                <w:b/>
                <w:sz w:val="24"/>
                <w:szCs w:val="24"/>
              </w:rPr>
            </w:pPr>
            <w:r w:rsidRPr="005A7EF3">
              <w:rPr>
                <w:b/>
                <w:sz w:val="24"/>
                <w:szCs w:val="24"/>
              </w:rPr>
              <w:t>q≤0</w:t>
            </w:r>
            <w:r>
              <w:rPr>
                <w:b/>
                <w:sz w:val="24"/>
                <w:szCs w:val="24"/>
              </w:rPr>
              <w:t>.20</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1.67</w:t>
            </w:r>
          </w:p>
          <w:p w:rsidR="00C528A4" w:rsidRDefault="00C528A4" w:rsidP="00C528A4">
            <w:pPr>
              <w:jc w:val="center"/>
              <w:rPr>
                <w:sz w:val="24"/>
                <w:szCs w:val="24"/>
              </w:rPr>
            </w:pPr>
            <w:r>
              <w:rPr>
                <w:sz w:val="24"/>
                <w:szCs w:val="24"/>
              </w:rPr>
              <w:t>(1.37)</w:t>
            </w:r>
          </w:p>
        </w:tc>
        <w:tc>
          <w:tcPr>
            <w:tcW w:w="1401" w:type="dxa"/>
          </w:tcPr>
          <w:p w:rsidR="00C528A4" w:rsidRDefault="00C528A4" w:rsidP="00C528A4">
            <w:pPr>
              <w:jc w:val="center"/>
              <w:rPr>
                <w:sz w:val="24"/>
                <w:szCs w:val="24"/>
              </w:rPr>
            </w:pPr>
          </w:p>
        </w:tc>
      </w:tr>
      <w:tr w:rsidR="00C528A4" w:rsidRPr="00FC0819" w:rsidTr="00C528A4">
        <w:tc>
          <w:tcPr>
            <w:tcW w:w="1809" w:type="dxa"/>
          </w:tcPr>
          <w:p w:rsidR="00C528A4" w:rsidRPr="000B1089" w:rsidRDefault="00C528A4" w:rsidP="00C528A4">
            <w:pPr>
              <w:rPr>
                <w:b/>
                <w:sz w:val="24"/>
                <w:szCs w:val="24"/>
              </w:rPr>
            </w:pPr>
            <w:r>
              <w:rPr>
                <w:b/>
                <w:sz w:val="24"/>
                <w:szCs w:val="24"/>
              </w:rPr>
              <w:t>q (linear)</w:t>
            </w: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p>
        </w:tc>
        <w:tc>
          <w:tcPr>
            <w:tcW w:w="1401" w:type="dxa"/>
          </w:tcPr>
          <w:p w:rsidR="00C528A4" w:rsidRDefault="00C528A4" w:rsidP="00C528A4">
            <w:pPr>
              <w:jc w:val="center"/>
              <w:rPr>
                <w:sz w:val="24"/>
                <w:szCs w:val="24"/>
              </w:rPr>
            </w:pPr>
            <w:r>
              <w:rPr>
                <w:sz w:val="24"/>
                <w:szCs w:val="24"/>
              </w:rPr>
              <w:t>1.62</w:t>
            </w:r>
          </w:p>
          <w:p w:rsidR="00C528A4" w:rsidRDefault="00C528A4" w:rsidP="00C528A4">
            <w:pPr>
              <w:jc w:val="center"/>
              <w:rPr>
                <w:sz w:val="24"/>
                <w:szCs w:val="24"/>
              </w:rPr>
            </w:pPr>
            <w:r>
              <w:rPr>
                <w:sz w:val="24"/>
                <w:szCs w:val="24"/>
              </w:rPr>
              <w:t>(0.46)</w:t>
            </w:r>
          </w:p>
        </w:tc>
      </w:tr>
      <w:tr w:rsidR="00C528A4" w:rsidRPr="00FC0819" w:rsidTr="00C528A4">
        <w:tc>
          <w:tcPr>
            <w:tcW w:w="1809" w:type="dxa"/>
          </w:tcPr>
          <w:p w:rsidR="00C528A4" w:rsidRDefault="00C528A4" w:rsidP="00C528A4">
            <w:pPr>
              <w:rPr>
                <w:b/>
                <w:sz w:val="24"/>
                <w:szCs w:val="24"/>
              </w:rPr>
            </w:pPr>
            <w:r>
              <w:rPr>
                <w:b/>
                <w:sz w:val="24"/>
                <w:szCs w:val="24"/>
              </w:rPr>
              <w:t>Log(real LA house price</w:t>
            </w:r>
            <w:r>
              <w:rPr>
                <w:b/>
                <w:sz w:val="24"/>
                <w:szCs w:val="24"/>
                <w:vertAlign w:val="subscript"/>
              </w:rPr>
              <w:t>t-1</w:t>
            </w:r>
            <w:r>
              <w:rPr>
                <w:b/>
                <w:sz w:val="24"/>
                <w:szCs w:val="24"/>
              </w:rPr>
              <w:t>)</w:t>
            </w:r>
          </w:p>
        </w:tc>
        <w:tc>
          <w:tcPr>
            <w:tcW w:w="1401" w:type="dxa"/>
          </w:tcPr>
          <w:p w:rsidR="00C528A4" w:rsidRDefault="00C528A4" w:rsidP="00C528A4">
            <w:pPr>
              <w:jc w:val="center"/>
              <w:rPr>
                <w:sz w:val="24"/>
                <w:szCs w:val="24"/>
              </w:rPr>
            </w:pPr>
            <w:r>
              <w:rPr>
                <w:sz w:val="24"/>
                <w:szCs w:val="24"/>
              </w:rPr>
              <w:t>-1.04</w:t>
            </w:r>
          </w:p>
          <w:p w:rsidR="00C528A4" w:rsidRDefault="00C528A4" w:rsidP="00C528A4">
            <w:pPr>
              <w:jc w:val="center"/>
              <w:rPr>
                <w:sz w:val="24"/>
                <w:szCs w:val="24"/>
              </w:rPr>
            </w:pPr>
            <w:r>
              <w:rPr>
                <w:sz w:val="24"/>
                <w:szCs w:val="24"/>
              </w:rPr>
              <w:t>(0.43)</w:t>
            </w:r>
          </w:p>
        </w:tc>
        <w:tc>
          <w:tcPr>
            <w:tcW w:w="1401" w:type="dxa"/>
          </w:tcPr>
          <w:p w:rsidR="00C528A4" w:rsidRDefault="00C528A4" w:rsidP="00C528A4">
            <w:pPr>
              <w:jc w:val="center"/>
              <w:rPr>
                <w:sz w:val="24"/>
                <w:szCs w:val="24"/>
              </w:rPr>
            </w:pPr>
            <w:r>
              <w:rPr>
                <w:sz w:val="24"/>
                <w:szCs w:val="24"/>
              </w:rPr>
              <w:t>-1.32</w:t>
            </w:r>
          </w:p>
          <w:p w:rsidR="00C528A4" w:rsidRDefault="00C528A4" w:rsidP="00C528A4">
            <w:pPr>
              <w:jc w:val="center"/>
              <w:rPr>
                <w:sz w:val="24"/>
                <w:szCs w:val="24"/>
              </w:rPr>
            </w:pPr>
            <w:r>
              <w:rPr>
                <w:sz w:val="24"/>
                <w:szCs w:val="24"/>
              </w:rPr>
              <w:t>(0.45)</w:t>
            </w:r>
          </w:p>
        </w:tc>
        <w:tc>
          <w:tcPr>
            <w:tcW w:w="1401" w:type="dxa"/>
          </w:tcPr>
          <w:p w:rsidR="00C528A4" w:rsidRDefault="00C528A4" w:rsidP="00C528A4">
            <w:pPr>
              <w:jc w:val="center"/>
              <w:rPr>
                <w:sz w:val="24"/>
                <w:szCs w:val="24"/>
              </w:rPr>
            </w:pPr>
            <w:r>
              <w:rPr>
                <w:sz w:val="24"/>
                <w:szCs w:val="24"/>
              </w:rPr>
              <w:t>-1.32</w:t>
            </w:r>
          </w:p>
          <w:p w:rsidR="00C528A4" w:rsidRDefault="00C528A4" w:rsidP="00C528A4">
            <w:pPr>
              <w:jc w:val="center"/>
              <w:rPr>
                <w:sz w:val="24"/>
                <w:szCs w:val="24"/>
              </w:rPr>
            </w:pPr>
            <w:r>
              <w:rPr>
                <w:sz w:val="24"/>
                <w:szCs w:val="24"/>
              </w:rPr>
              <w:t>(0.45)</w:t>
            </w:r>
          </w:p>
        </w:tc>
        <w:tc>
          <w:tcPr>
            <w:tcW w:w="1401" w:type="dxa"/>
          </w:tcPr>
          <w:p w:rsidR="00C528A4" w:rsidRDefault="00C528A4" w:rsidP="00C528A4">
            <w:pPr>
              <w:jc w:val="center"/>
              <w:rPr>
                <w:sz w:val="24"/>
                <w:szCs w:val="24"/>
              </w:rPr>
            </w:pPr>
            <w:r>
              <w:rPr>
                <w:sz w:val="24"/>
                <w:szCs w:val="24"/>
              </w:rPr>
              <w:t>-1.32</w:t>
            </w:r>
          </w:p>
          <w:p w:rsidR="00C528A4" w:rsidRDefault="00C528A4" w:rsidP="00C528A4">
            <w:pPr>
              <w:jc w:val="center"/>
              <w:rPr>
                <w:sz w:val="24"/>
                <w:szCs w:val="24"/>
              </w:rPr>
            </w:pPr>
            <w:r>
              <w:rPr>
                <w:sz w:val="24"/>
                <w:szCs w:val="24"/>
              </w:rPr>
              <w:t>(0.45)</w:t>
            </w:r>
          </w:p>
        </w:tc>
      </w:tr>
    </w:tbl>
    <w:p w:rsidR="00C528A4" w:rsidRDefault="00C528A4" w:rsidP="00C528A4">
      <w:pPr>
        <w:rPr>
          <w:sz w:val="24"/>
          <w:szCs w:val="24"/>
        </w:rPr>
      </w:pPr>
      <w:r>
        <w:rPr>
          <w:sz w:val="24"/>
          <w:szCs w:val="24"/>
        </w:rPr>
        <w:t xml:space="preserve">*Number of women=427; number of woman years=3059.  Standard errors are in parentheses.  Other covariates are the woman’s age, age squared, number of children of particular ages in the household, whether or not the woman has a partner, real monthly household income, change in household income (positive and negative changes separately), change in household size (positive and negative changes separately), tenure in current residence and its square, and the local unemployment rate.  All of these variables are measured in year t-1 for the analysis of moves between year t-1 and year t.  </w:t>
      </w:r>
    </w:p>
    <w:p w:rsidR="00C528A4" w:rsidRPr="00FC0819" w:rsidRDefault="00C528A4" w:rsidP="00C528A4">
      <w:pPr>
        <w:rPr>
          <w:sz w:val="24"/>
          <w:szCs w:val="24"/>
        </w:rPr>
      </w:pPr>
      <w:r>
        <w:rPr>
          <w:sz w:val="24"/>
          <w:szCs w:val="24"/>
        </w:rPr>
        <w:br w:type="page"/>
      </w:r>
    </w:p>
    <w:p w:rsidR="00C528A4" w:rsidRDefault="00C528A4" w:rsidP="004E028F">
      <w:pPr>
        <w:spacing w:line="480" w:lineRule="auto"/>
        <w:ind w:firstLine="720"/>
        <w:rPr>
          <w:sz w:val="24"/>
          <w:szCs w:val="24"/>
        </w:rPr>
      </w:pPr>
    </w:p>
    <w:p w:rsidR="0090182E" w:rsidRDefault="003358F7" w:rsidP="008A65E2">
      <w:pPr>
        <w:spacing w:line="480" w:lineRule="auto"/>
        <w:ind w:firstLine="720"/>
        <w:rPr>
          <w:sz w:val="24"/>
          <w:szCs w:val="24"/>
        </w:rPr>
      </w:pPr>
      <w:r>
        <w:rPr>
          <w:sz w:val="24"/>
          <w:szCs w:val="24"/>
        </w:rPr>
        <w:t>As noted earlier, previous analyses have used cross-section variation to estimate the parameters</w:t>
      </w:r>
      <w:r w:rsidR="00C4153E">
        <w:rPr>
          <w:sz w:val="24"/>
          <w:szCs w:val="24"/>
        </w:rPr>
        <w:t>, implicitly assuming that any person-specific</w:t>
      </w:r>
      <w:r w:rsidR="00B876D1">
        <w:rPr>
          <w:sz w:val="24"/>
          <w:szCs w:val="24"/>
        </w:rPr>
        <w:t xml:space="preserve"> persistent </w:t>
      </w:r>
      <w:r w:rsidR="00C4153E">
        <w:rPr>
          <w:sz w:val="24"/>
          <w:szCs w:val="24"/>
        </w:rPr>
        <w:t xml:space="preserve">influences </w:t>
      </w:r>
      <w:r w:rsidR="00B876D1">
        <w:rPr>
          <w:sz w:val="24"/>
          <w:szCs w:val="24"/>
        </w:rPr>
        <w:t xml:space="preserve">on mobility </w:t>
      </w:r>
      <w:r w:rsidR="00C4153E">
        <w:rPr>
          <w:sz w:val="24"/>
          <w:szCs w:val="24"/>
        </w:rPr>
        <w:t>are not correlated with the covariates in the model</w:t>
      </w:r>
      <w:r>
        <w:rPr>
          <w:sz w:val="24"/>
          <w:szCs w:val="24"/>
        </w:rPr>
        <w:t xml:space="preserve">.  </w:t>
      </w:r>
      <w:r w:rsidR="00C85C1E">
        <w:rPr>
          <w:sz w:val="24"/>
          <w:szCs w:val="24"/>
        </w:rPr>
        <w:t>We test the null hypothesis that the fixed effects (</w:t>
      </w:r>
      <w:proofErr w:type="spellStart"/>
      <w:r w:rsidR="00C85C1E">
        <w:rPr>
          <w:sz w:val="24"/>
          <w:szCs w:val="24"/>
        </w:rPr>
        <w:t>α</w:t>
      </w:r>
      <w:r w:rsidR="00C85C1E">
        <w:rPr>
          <w:sz w:val="24"/>
          <w:szCs w:val="24"/>
          <w:vertAlign w:val="subscript"/>
        </w:rPr>
        <w:t>i</w:t>
      </w:r>
      <w:proofErr w:type="spellEnd"/>
      <w:r w:rsidR="00C85C1E">
        <w:rPr>
          <w:sz w:val="24"/>
          <w:szCs w:val="24"/>
        </w:rPr>
        <w:t>) are not correlated with q</w:t>
      </w:r>
      <w:r w:rsidR="00C85C1E">
        <w:rPr>
          <w:sz w:val="24"/>
          <w:szCs w:val="24"/>
          <w:vertAlign w:val="subscript"/>
        </w:rPr>
        <w:t>it-1</w:t>
      </w:r>
      <w:r w:rsidR="00C85C1E">
        <w:rPr>
          <w:sz w:val="24"/>
          <w:szCs w:val="24"/>
        </w:rPr>
        <w:t xml:space="preserve"> and X</w:t>
      </w:r>
      <w:r w:rsidR="00C85C1E">
        <w:rPr>
          <w:sz w:val="24"/>
          <w:szCs w:val="24"/>
          <w:vertAlign w:val="subscript"/>
        </w:rPr>
        <w:t>t-1</w:t>
      </w:r>
      <w:r w:rsidR="00D0668C">
        <w:rPr>
          <w:sz w:val="24"/>
          <w:szCs w:val="24"/>
        </w:rPr>
        <w:t xml:space="preserve"> using a </w:t>
      </w:r>
      <w:proofErr w:type="spellStart"/>
      <w:r w:rsidR="00D0668C">
        <w:rPr>
          <w:sz w:val="24"/>
          <w:szCs w:val="24"/>
        </w:rPr>
        <w:t>Hausman</w:t>
      </w:r>
      <w:proofErr w:type="spellEnd"/>
      <w:r w:rsidR="00D0668C">
        <w:rPr>
          <w:sz w:val="24"/>
          <w:szCs w:val="24"/>
        </w:rPr>
        <w:t xml:space="preserve"> test, which compares</w:t>
      </w:r>
      <w:r w:rsidR="00C85C1E">
        <w:rPr>
          <w:sz w:val="24"/>
          <w:szCs w:val="24"/>
        </w:rPr>
        <w:t xml:space="preserve"> the conditional </w:t>
      </w:r>
      <w:proofErr w:type="spellStart"/>
      <w:r w:rsidR="00C85C1E">
        <w:rPr>
          <w:sz w:val="24"/>
          <w:szCs w:val="24"/>
        </w:rPr>
        <w:t>logit</w:t>
      </w:r>
      <w:proofErr w:type="spellEnd"/>
      <w:r w:rsidR="00C85C1E">
        <w:rPr>
          <w:sz w:val="24"/>
          <w:szCs w:val="24"/>
        </w:rPr>
        <w:t xml:space="preserve"> estimates of Model 4 in Table 2 with the corresponding random effect </w:t>
      </w:r>
      <w:r w:rsidR="00AD3BF9">
        <w:rPr>
          <w:sz w:val="24"/>
          <w:szCs w:val="24"/>
        </w:rPr>
        <w:t xml:space="preserve">(RE) </w:t>
      </w:r>
      <w:r w:rsidR="00C85C1E">
        <w:rPr>
          <w:sz w:val="24"/>
          <w:szCs w:val="24"/>
        </w:rPr>
        <w:t>estimates</w:t>
      </w:r>
      <w:r w:rsidR="00E816FB">
        <w:rPr>
          <w:sz w:val="24"/>
          <w:szCs w:val="24"/>
        </w:rPr>
        <w:t>, which us</w:t>
      </w:r>
      <w:r w:rsidR="005617E6">
        <w:rPr>
          <w:sz w:val="24"/>
          <w:szCs w:val="24"/>
        </w:rPr>
        <w:t>e the cross-section variation in</w:t>
      </w:r>
      <w:r w:rsidR="00E816FB">
        <w:rPr>
          <w:sz w:val="24"/>
          <w:szCs w:val="24"/>
        </w:rPr>
        <w:t xml:space="preserve"> estimating the parameters</w:t>
      </w:r>
      <w:r w:rsidR="00CB595B">
        <w:rPr>
          <w:sz w:val="24"/>
          <w:szCs w:val="24"/>
        </w:rPr>
        <w:t xml:space="preserve"> </w:t>
      </w:r>
      <w:r w:rsidR="00D20998">
        <w:rPr>
          <w:sz w:val="24"/>
          <w:szCs w:val="24"/>
        </w:rPr>
        <w:t>as well as within variation</w:t>
      </w:r>
      <w:r w:rsidR="00C85C1E">
        <w:rPr>
          <w:sz w:val="24"/>
          <w:szCs w:val="24"/>
        </w:rPr>
        <w:t>.  The test soundly rejects the hypothesis (p-value=0.0000).</w:t>
      </w:r>
      <w:r w:rsidR="00D0668C">
        <w:rPr>
          <w:rStyle w:val="FootnoteReference"/>
          <w:sz w:val="24"/>
          <w:szCs w:val="24"/>
        </w:rPr>
        <w:footnoteReference w:id="10"/>
      </w:r>
      <w:r w:rsidR="00C4153E">
        <w:rPr>
          <w:sz w:val="24"/>
          <w:szCs w:val="24"/>
        </w:rPr>
        <w:t xml:space="preserve">  The test result</w:t>
      </w:r>
      <w:r w:rsidR="00C85C1E">
        <w:rPr>
          <w:sz w:val="24"/>
          <w:szCs w:val="24"/>
        </w:rPr>
        <w:t xml:space="preserve"> suggests that previous estimates using cross-s</w:t>
      </w:r>
      <w:r w:rsidR="00506139">
        <w:rPr>
          <w:sz w:val="24"/>
          <w:szCs w:val="24"/>
        </w:rPr>
        <w:t xml:space="preserve">ection variation are biased.   </w:t>
      </w:r>
      <w:r w:rsidR="00B876D1">
        <w:rPr>
          <w:sz w:val="24"/>
          <w:szCs w:val="24"/>
        </w:rPr>
        <w:t xml:space="preserve">Table 3 compares the conditional </w:t>
      </w:r>
      <w:proofErr w:type="spellStart"/>
      <w:r w:rsidR="00B876D1">
        <w:rPr>
          <w:sz w:val="24"/>
          <w:szCs w:val="24"/>
        </w:rPr>
        <w:t>logit</w:t>
      </w:r>
      <w:proofErr w:type="spellEnd"/>
      <w:r w:rsidR="00772F0F">
        <w:rPr>
          <w:sz w:val="24"/>
          <w:szCs w:val="24"/>
        </w:rPr>
        <w:t xml:space="preserve"> (FE)</w:t>
      </w:r>
      <w:r w:rsidR="00B876D1">
        <w:rPr>
          <w:sz w:val="24"/>
          <w:szCs w:val="24"/>
        </w:rPr>
        <w:t xml:space="preserve"> and RE estimates.  It shows that</w:t>
      </w:r>
      <w:r w:rsidR="00506139">
        <w:rPr>
          <w:sz w:val="24"/>
          <w:szCs w:val="24"/>
        </w:rPr>
        <w:t xml:space="preserve"> t</w:t>
      </w:r>
      <w:r w:rsidR="00AD3BF9">
        <w:rPr>
          <w:sz w:val="24"/>
          <w:szCs w:val="24"/>
        </w:rPr>
        <w:t>he RE estimate of the impact of the equity ratio is virtually zero</w:t>
      </w:r>
      <w:r w:rsidR="00FE09C6">
        <w:rPr>
          <w:sz w:val="24"/>
          <w:szCs w:val="24"/>
        </w:rPr>
        <w:t>, implying that the correlation between the equity ratio (q</w:t>
      </w:r>
      <w:r w:rsidR="00FE09C6">
        <w:rPr>
          <w:sz w:val="24"/>
          <w:szCs w:val="24"/>
          <w:vertAlign w:val="subscript"/>
        </w:rPr>
        <w:t>it-1</w:t>
      </w:r>
      <w:r w:rsidR="00FE09C6">
        <w:rPr>
          <w:sz w:val="24"/>
          <w:szCs w:val="24"/>
        </w:rPr>
        <w:t>) and the person’s underlying mobility propensity (</w:t>
      </w:r>
      <w:proofErr w:type="spellStart"/>
      <w:r w:rsidR="00FE09C6">
        <w:rPr>
          <w:sz w:val="24"/>
          <w:szCs w:val="24"/>
        </w:rPr>
        <w:t>α</w:t>
      </w:r>
      <w:r w:rsidR="00FE09C6">
        <w:rPr>
          <w:sz w:val="24"/>
          <w:szCs w:val="24"/>
          <w:vertAlign w:val="subscript"/>
        </w:rPr>
        <w:t>i</w:t>
      </w:r>
      <w:proofErr w:type="spellEnd"/>
      <w:r w:rsidR="00FE09C6">
        <w:rPr>
          <w:sz w:val="24"/>
          <w:szCs w:val="24"/>
        </w:rPr>
        <w:t>) is negative and large</w:t>
      </w:r>
      <w:r w:rsidR="00AD3BF9">
        <w:rPr>
          <w:sz w:val="24"/>
          <w:szCs w:val="24"/>
        </w:rPr>
        <w:t>.</w:t>
      </w:r>
      <w:r w:rsidR="00791E9D">
        <w:rPr>
          <w:rStyle w:val="FootnoteReference"/>
          <w:sz w:val="24"/>
          <w:szCs w:val="24"/>
        </w:rPr>
        <w:footnoteReference w:id="11"/>
      </w:r>
      <w:r w:rsidR="00B876D1">
        <w:rPr>
          <w:sz w:val="24"/>
          <w:szCs w:val="24"/>
        </w:rPr>
        <w:t xml:space="preserve">  Also, the RE estimate of the impact of the r</w:t>
      </w:r>
      <w:r w:rsidR="008A65E2">
        <w:rPr>
          <w:sz w:val="24"/>
          <w:szCs w:val="24"/>
        </w:rPr>
        <w:t>elative house price is one-fourth</w:t>
      </w:r>
      <w:r w:rsidR="00B876D1">
        <w:rPr>
          <w:sz w:val="24"/>
          <w:szCs w:val="24"/>
        </w:rPr>
        <w:t xml:space="preserve"> the size of</w:t>
      </w:r>
      <w:r w:rsidR="0009214B">
        <w:rPr>
          <w:sz w:val="24"/>
          <w:szCs w:val="24"/>
        </w:rPr>
        <w:t xml:space="preserve"> the conditional </w:t>
      </w:r>
      <w:proofErr w:type="spellStart"/>
      <w:r w:rsidR="0009214B">
        <w:rPr>
          <w:sz w:val="24"/>
          <w:szCs w:val="24"/>
        </w:rPr>
        <w:t>logit</w:t>
      </w:r>
      <w:proofErr w:type="spellEnd"/>
      <w:r w:rsidR="0009214B">
        <w:rPr>
          <w:sz w:val="24"/>
          <w:szCs w:val="24"/>
        </w:rPr>
        <w:t xml:space="preserve"> estimate, which indicates a tendency for those living in housing markets with higher prices to have higher mobility propensities.</w:t>
      </w:r>
      <w:r w:rsidR="008A65E2">
        <w:rPr>
          <w:sz w:val="24"/>
          <w:szCs w:val="24"/>
        </w:rPr>
        <w:t xml:space="preserve">  The RE estimates also underestimate the size of the impacts of residential tenure and the unemployment rate.</w:t>
      </w:r>
    </w:p>
    <w:p w:rsidR="00C528A4" w:rsidRDefault="00C528A4">
      <w:pPr>
        <w:rPr>
          <w:sz w:val="24"/>
          <w:szCs w:val="24"/>
        </w:rPr>
      </w:pPr>
      <w:r>
        <w:rPr>
          <w:sz w:val="24"/>
          <w:szCs w:val="24"/>
        </w:rPr>
        <w:br w:type="page"/>
      </w:r>
    </w:p>
    <w:p w:rsidR="008A65E2" w:rsidRDefault="008A65E2" w:rsidP="008A65E2">
      <w:pPr>
        <w:spacing w:line="480" w:lineRule="auto"/>
        <w:ind w:firstLine="720"/>
        <w:rPr>
          <w:sz w:val="24"/>
          <w:szCs w:val="24"/>
        </w:rPr>
      </w:pPr>
    </w:p>
    <w:p w:rsidR="0090182E" w:rsidRPr="00772F0F" w:rsidRDefault="0090182E" w:rsidP="0090182E">
      <w:pPr>
        <w:rPr>
          <w:b/>
          <w:sz w:val="24"/>
          <w:szCs w:val="24"/>
        </w:rPr>
      </w:pPr>
      <w:r w:rsidRPr="00772F0F">
        <w:rPr>
          <w:b/>
          <w:sz w:val="24"/>
          <w:szCs w:val="24"/>
        </w:rPr>
        <w:t>Table 3: Comparison of Fixed Effect an</w:t>
      </w:r>
      <w:r w:rsidR="00772F0F">
        <w:rPr>
          <w:b/>
          <w:sz w:val="24"/>
          <w:szCs w:val="24"/>
        </w:rPr>
        <w:t xml:space="preserve">d Random Effect Estimates </w:t>
      </w:r>
      <w:r w:rsidR="00772F0F" w:rsidRPr="00DD1D4E">
        <w:rPr>
          <w:b/>
          <w:sz w:val="24"/>
          <w:szCs w:val="24"/>
        </w:rPr>
        <w:t>on the log odds of residential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694"/>
        <w:gridCol w:w="1694"/>
        <w:gridCol w:w="1702"/>
        <w:gridCol w:w="1695"/>
      </w:tblGrid>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Variable</w:t>
            </w:r>
          </w:p>
        </w:tc>
        <w:tc>
          <w:tcPr>
            <w:tcW w:w="1704" w:type="dxa"/>
            <w:vAlign w:val="bottom"/>
          </w:tcPr>
          <w:p w:rsidR="0090182E" w:rsidRPr="00344499" w:rsidRDefault="0090182E" w:rsidP="00344499">
            <w:pPr>
              <w:jc w:val="center"/>
              <w:rPr>
                <w:b/>
                <w:color w:val="000000"/>
                <w:sz w:val="24"/>
                <w:szCs w:val="24"/>
              </w:rPr>
            </w:pPr>
            <w:r w:rsidRPr="00344499">
              <w:rPr>
                <w:b/>
                <w:color w:val="000000"/>
                <w:sz w:val="24"/>
                <w:szCs w:val="24"/>
              </w:rPr>
              <w:t>FE est.</w:t>
            </w:r>
          </w:p>
        </w:tc>
        <w:tc>
          <w:tcPr>
            <w:tcW w:w="1704" w:type="dxa"/>
            <w:vAlign w:val="bottom"/>
          </w:tcPr>
          <w:p w:rsidR="0090182E" w:rsidRPr="00344499" w:rsidRDefault="0090182E" w:rsidP="00344499">
            <w:pPr>
              <w:jc w:val="center"/>
              <w:rPr>
                <w:b/>
                <w:color w:val="000000"/>
                <w:sz w:val="24"/>
                <w:szCs w:val="24"/>
              </w:rPr>
            </w:pPr>
            <w:r w:rsidRPr="00344499">
              <w:rPr>
                <w:b/>
                <w:color w:val="000000"/>
                <w:sz w:val="24"/>
                <w:szCs w:val="24"/>
              </w:rPr>
              <w:t>RE est.</w:t>
            </w:r>
          </w:p>
        </w:tc>
        <w:tc>
          <w:tcPr>
            <w:tcW w:w="1705" w:type="dxa"/>
            <w:vAlign w:val="bottom"/>
          </w:tcPr>
          <w:p w:rsidR="0090182E" w:rsidRPr="00344499" w:rsidRDefault="0090182E" w:rsidP="00344499">
            <w:pPr>
              <w:jc w:val="center"/>
              <w:rPr>
                <w:b/>
                <w:color w:val="000000"/>
                <w:sz w:val="24"/>
                <w:szCs w:val="24"/>
              </w:rPr>
            </w:pPr>
            <w:r w:rsidRPr="00344499">
              <w:rPr>
                <w:b/>
                <w:color w:val="000000"/>
                <w:sz w:val="24"/>
                <w:szCs w:val="24"/>
              </w:rPr>
              <w:t>Difference</w:t>
            </w:r>
            <w:r w:rsidR="00772F0F" w:rsidRPr="00344499">
              <w:rPr>
                <w:b/>
                <w:color w:val="000000"/>
                <w:sz w:val="24"/>
                <w:szCs w:val="24"/>
              </w:rPr>
              <w:t>*</w:t>
            </w:r>
          </w:p>
        </w:tc>
        <w:tc>
          <w:tcPr>
            <w:tcW w:w="1705" w:type="dxa"/>
            <w:vAlign w:val="bottom"/>
          </w:tcPr>
          <w:p w:rsidR="0090182E" w:rsidRPr="00344499" w:rsidRDefault="0090182E" w:rsidP="00344499">
            <w:pPr>
              <w:jc w:val="center"/>
              <w:rPr>
                <w:b/>
                <w:color w:val="000000"/>
                <w:sz w:val="24"/>
                <w:szCs w:val="24"/>
              </w:rPr>
            </w:pPr>
            <w:r w:rsidRPr="00344499">
              <w:rPr>
                <w:b/>
                <w:color w:val="000000"/>
                <w:sz w:val="24"/>
                <w:szCs w:val="24"/>
              </w:rPr>
              <w:t>SE diff.</w:t>
            </w:r>
          </w:p>
        </w:tc>
      </w:tr>
      <w:tr w:rsidR="0090182E" w:rsidRPr="00344499" w:rsidTr="00344499">
        <w:tc>
          <w:tcPr>
            <w:tcW w:w="1704" w:type="dxa"/>
            <w:vAlign w:val="bottom"/>
          </w:tcPr>
          <w:p w:rsidR="0090182E" w:rsidRPr="00344499" w:rsidRDefault="008A65E2">
            <w:pPr>
              <w:rPr>
                <w:color w:val="000000"/>
                <w:sz w:val="24"/>
                <w:szCs w:val="24"/>
                <w:vertAlign w:val="subscript"/>
              </w:rPr>
            </w:pPr>
            <w:r w:rsidRPr="00344499">
              <w:rPr>
                <w:color w:val="000000"/>
                <w:sz w:val="24"/>
                <w:szCs w:val="24"/>
              </w:rPr>
              <w:t>q</w:t>
            </w:r>
            <w:r w:rsidR="0090182E" w:rsidRPr="00344499">
              <w:rPr>
                <w:color w:val="000000"/>
                <w:sz w:val="24"/>
                <w:szCs w:val="24"/>
                <w:vertAlign w:val="subscript"/>
              </w:rPr>
              <w:t>t-1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1.62</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-0.03</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1.66</w:t>
            </w:r>
            <w:r w:rsidR="00772F0F" w:rsidRPr="00344499">
              <w:rPr>
                <w:color w:val="000000"/>
                <w:sz w:val="24"/>
                <w:szCs w:val="24"/>
              </w:rPr>
              <w:t>*</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0.39</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age</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-0.56</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-0.29</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-0.27</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0.15</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Age-squared</w:t>
            </w:r>
            <w:r w:rsidR="005719BE">
              <w:rPr>
                <w:color w:val="000000"/>
                <w:sz w:val="24"/>
                <w:szCs w:val="24"/>
              </w:rPr>
              <w:t>/100</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0.48</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0.27</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0.20</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0.20</w:t>
            </w:r>
          </w:p>
        </w:tc>
      </w:tr>
      <w:tr w:rsidR="0090182E" w:rsidRPr="00344499" w:rsidTr="00344499">
        <w:tc>
          <w:tcPr>
            <w:tcW w:w="1704" w:type="dxa"/>
            <w:vAlign w:val="bottom"/>
          </w:tcPr>
          <w:p w:rsidR="0090182E" w:rsidRPr="00344499" w:rsidRDefault="0090182E">
            <w:pPr>
              <w:rPr>
                <w:color w:val="000000"/>
                <w:sz w:val="24"/>
                <w:szCs w:val="24"/>
                <w:vertAlign w:val="subscript"/>
              </w:rPr>
            </w:pPr>
            <w:r w:rsidRPr="00344499">
              <w:rPr>
                <w:color w:val="000000"/>
                <w:sz w:val="24"/>
                <w:szCs w:val="24"/>
              </w:rPr>
              <w:t>Partner</w:t>
            </w:r>
            <w:r w:rsidRPr="00344499">
              <w:rPr>
                <w:color w:val="000000"/>
                <w:sz w:val="24"/>
                <w:szCs w:val="24"/>
                <w:vertAlign w:val="subscript"/>
              </w:rPr>
              <w:t>t-1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-0.84</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-0.79</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-0.05</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0.24</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Number of children aged:</w:t>
            </w:r>
          </w:p>
        </w:tc>
        <w:tc>
          <w:tcPr>
            <w:tcW w:w="1704" w:type="dxa"/>
            <w:vAlign w:val="bottom"/>
          </w:tcPr>
          <w:p w:rsidR="0090182E" w:rsidRPr="00344499" w:rsidRDefault="0090182E" w:rsidP="00344499">
            <w:pPr>
              <w:jc w:val="center"/>
              <w:rPr>
                <w:color w:val="000000"/>
                <w:sz w:val="24"/>
                <w:szCs w:val="24"/>
              </w:rPr>
            </w:pPr>
          </w:p>
        </w:tc>
        <w:tc>
          <w:tcPr>
            <w:tcW w:w="1704" w:type="dxa"/>
            <w:vAlign w:val="bottom"/>
          </w:tcPr>
          <w:p w:rsidR="0090182E" w:rsidRPr="00344499" w:rsidRDefault="0090182E" w:rsidP="00344499">
            <w:pPr>
              <w:jc w:val="center"/>
              <w:rPr>
                <w:color w:val="000000"/>
                <w:sz w:val="24"/>
                <w:szCs w:val="24"/>
              </w:rPr>
            </w:pPr>
          </w:p>
        </w:tc>
        <w:tc>
          <w:tcPr>
            <w:tcW w:w="1705" w:type="dxa"/>
            <w:vAlign w:val="bottom"/>
          </w:tcPr>
          <w:p w:rsidR="0090182E" w:rsidRPr="00344499" w:rsidRDefault="0090182E" w:rsidP="00344499">
            <w:pPr>
              <w:jc w:val="center"/>
              <w:rPr>
                <w:color w:val="000000"/>
                <w:sz w:val="24"/>
                <w:szCs w:val="24"/>
              </w:rPr>
            </w:pPr>
          </w:p>
        </w:tc>
        <w:tc>
          <w:tcPr>
            <w:tcW w:w="1705" w:type="dxa"/>
            <w:vAlign w:val="bottom"/>
          </w:tcPr>
          <w:p w:rsidR="0090182E" w:rsidRPr="00344499" w:rsidRDefault="0090182E" w:rsidP="00344499">
            <w:pPr>
              <w:jc w:val="center"/>
              <w:rPr>
                <w:color w:val="000000"/>
                <w:sz w:val="24"/>
                <w:szCs w:val="24"/>
              </w:rPr>
            </w:pP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0-2</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-0.23</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-0.19</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0.12</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3-4</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-0.18</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-0.22</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0.13</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5-11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-0.25</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-0.18</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-0.08</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0.13</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12</w:t>
            </w:r>
            <w:r w:rsidR="00772F0F" w:rsidRPr="00344499">
              <w:rPr>
                <w:color w:val="000000"/>
                <w:sz w:val="24"/>
                <w:szCs w:val="24"/>
              </w:rPr>
              <w:t>-</w:t>
            </w:r>
            <w:r w:rsidRPr="00344499">
              <w:rPr>
                <w:color w:val="000000"/>
                <w:sz w:val="24"/>
                <w:szCs w:val="24"/>
              </w:rPr>
              <w:t>15</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0.03</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-0.01</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0.20</w:t>
            </w:r>
          </w:p>
        </w:tc>
      </w:tr>
      <w:tr w:rsidR="0090182E" w:rsidRPr="00344499" w:rsidTr="00344499">
        <w:tc>
          <w:tcPr>
            <w:tcW w:w="1704" w:type="dxa"/>
            <w:vAlign w:val="bottom"/>
          </w:tcPr>
          <w:p w:rsidR="0090182E" w:rsidRPr="00344499" w:rsidRDefault="0090182E">
            <w:pPr>
              <w:rPr>
                <w:color w:val="000000"/>
                <w:sz w:val="24"/>
                <w:szCs w:val="24"/>
              </w:rPr>
            </w:pPr>
            <w:r w:rsidRPr="00344499">
              <w:rPr>
                <w:color w:val="000000"/>
                <w:sz w:val="24"/>
                <w:szCs w:val="24"/>
              </w:rPr>
              <w:t>16</w:t>
            </w:r>
            <w:r w:rsidR="00772F0F" w:rsidRPr="00344499">
              <w:rPr>
                <w:color w:val="000000"/>
                <w:sz w:val="24"/>
                <w:szCs w:val="24"/>
              </w:rPr>
              <w:t>-</w:t>
            </w:r>
            <w:r w:rsidRPr="00344499">
              <w:rPr>
                <w:color w:val="000000"/>
                <w:sz w:val="24"/>
                <w:szCs w:val="24"/>
              </w:rPr>
              <w:t>18</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-0.12</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0.07</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0.32</w:t>
            </w:r>
          </w:p>
        </w:tc>
      </w:tr>
      <w:tr w:rsidR="0090182E" w:rsidRPr="00344499" w:rsidTr="00344499">
        <w:tc>
          <w:tcPr>
            <w:tcW w:w="1704" w:type="dxa"/>
            <w:vAlign w:val="bottom"/>
          </w:tcPr>
          <w:p w:rsidR="0090182E" w:rsidRPr="00344499" w:rsidRDefault="00772F0F" w:rsidP="00772F0F">
            <w:pPr>
              <w:rPr>
                <w:color w:val="000000"/>
                <w:sz w:val="24"/>
                <w:szCs w:val="24"/>
              </w:rPr>
            </w:pPr>
            <w:r w:rsidRPr="00344499">
              <w:rPr>
                <w:color w:val="000000"/>
                <w:sz w:val="24"/>
                <w:szCs w:val="24"/>
              </w:rPr>
              <w:t>Mo. household income</w:t>
            </w:r>
            <w:r w:rsidRPr="00344499">
              <w:rPr>
                <w:color w:val="000000"/>
                <w:sz w:val="24"/>
                <w:szCs w:val="24"/>
                <w:vertAlign w:val="subscript"/>
              </w:rPr>
              <w:t>t-1</w:t>
            </w:r>
            <w:r w:rsidRPr="00344499">
              <w:rPr>
                <w:color w:val="000000"/>
                <w:sz w:val="24"/>
                <w:szCs w:val="24"/>
              </w:rPr>
              <w:t xml:space="preserve"> 000s</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0.10</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0.08</w:t>
            </w:r>
          </w:p>
        </w:tc>
      </w:tr>
      <w:tr w:rsidR="0090182E" w:rsidRPr="00344499" w:rsidTr="00344499">
        <w:tc>
          <w:tcPr>
            <w:tcW w:w="1704" w:type="dxa"/>
            <w:vAlign w:val="bottom"/>
          </w:tcPr>
          <w:p w:rsidR="0090182E" w:rsidRPr="002472B6" w:rsidRDefault="00772F0F" w:rsidP="00772F0F">
            <w:pPr>
              <w:rPr>
                <w:color w:val="000000"/>
                <w:sz w:val="24"/>
                <w:szCs w:val="24"/>
              </w:rPr>
            </w:pPr>
            <w:r w:rsidRPr="00344499">
              <w:rPr>
                <w:color w:val="000000"/>
                <w:sz w:val="24"/>
                <w:szCs w:val="24"/>
              </w:rPr>
              <w:t>P</w:t>
            </w:r>
            <w:r w:rsidR="0090182E" w:rsidRPr="00344499">
              <w:rPr>
                <w:color w:val="000000"/>
                <w:sz w:val="24"/>
                <w:szCs w:val="24"/>
              </w:rPr>
              <w:t>os</w:t>
            </w:r>
            <w:r w:rsidRPr="00344499">
              <w:rPr>
                <w:color w:val="000000"/>
                <w:sz w:val="24"/>
                <w:szCs w:val="24"/>
              </w:rPr>
              <w:t xml:space="preserve">itive change in </w:t>
            </w:r>
            <w:r w:rsidR="0090182E" w:rsidRPr="00344499">
              <w:rPr>
                <w:color w:val="000000"/>
                <w:sz w:val="24"/>
                <w:szCs w:val="24"/>
              </w:rPr>
              <w:t>inc</w:t>
            </w:r>
            <w:r w:rsidRPr="00344499">
              <w:rPr>
                <w:color w:val="000000"/>
                <w:sz w:val="24"/>
                <w:szCs w:val="24"/>
                <w:vertAlign w:val="subscript"/>
              </w:rPr>
              <w:t>t-1</w:t>
            </w:r>
            <w:r w:rsidR="002472B6">
              <w:rPr>
                <w:color w:val="000000"/>
                <w:sz w:val="24"/>
                <w:szCs w:val="24"/>
              </w:rPr>
              <w:t xml:space="preserve"> </w:t>
            </w:r>
            <w:r w:rsidR="002472B6" w:rsidRPr="00344499">
              <w:rPr>
                <w:color w:val="000000"/>
                <w:sz w:val="24"/>
                <w:szCs w:val="24"/>
              </w:rPr>
              <w:t>000s</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-0.05</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0.09</w:t>
            </w:r>
          </w:p>
        </w:tc>
      </w:tr>
      <w:tr w:rsidR="0090182E" w:rsidRPr="00344499" w:rsidTr="00344499">
        <w:tc>
          <w:tcPr>
            <w:tcW w:w="1704" w:type="dxa"/>
            <w:vAlign w:val="bottom"/>
          </w:tcPr>
          <w:p w:rsidR="0090182E" w:rsidRDefault="00772F0F" w:rsidP="00772F0F">
            <w:pPr>
              <w:rPr>
                <w:color w:val="000000"/>
                <w:sz w:val="24"/>
                <w:szCs w:val="24"/>
              </w:rPr>
            </w:pPr>
            <w:r w:rsidRPr="00344499">
              <w:rPr>
                <w:color w:val="000000"/>
                <w:sz w:val="24"/>
                <w:szCs w:val="24"/>
              </w:rPr>
              <w:t>Negative change in inc</w:t>
            </w:r>
            <w:r w:rsidRPr="00344499">
              <w:rPr>
                <w:color w:val="000000"/>
                <w:sz w:val="24"/>
                <w:szCs w:val="24"/>
                <w:vertAlign w:val="subscript"/>
              </w:rPr>
              <w:t>t-1</w:t>
            </w:r>
          </w:p>
          <w:p w:rsidR="002472B6" w:rsidRPr="002472B6" w:rsidRDefault="002472B6" w:rsidP="00772F0F">
            <w:pPr>
              <w:rPr>
                <w:color w:val="000000"/>
                <w:sz w:val="24"/>
                <w:szCs w:val="24"/>
              </w:rPr>
            </w:pPr>
            <w:r w:rsidRPr="00344499">
              <w:rPr>
                <w:color w:val="000000"/>
                <w:sz w:val="24"/>
                <w:szCs w:val="24"/>
              </w:rPr>
              <w:t>000s</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-0.05</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0.01</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0.07</w:t>
            </w:r>
          </w:p>
        </w:tc>
      </w:tr>
      <w:tr w:rsidR="0090182E" w:rsidRPr="00344499" w:rsidTr="00344499">
        <w:tc>
          <w:tcPr>
            <w:tcW w:w="1704" w:type="dxa"/>
            <w:vAlign w:val="bottom"/>
          </w:tcPr>
          <w:p w:rsidR="0090182E" w:rsidRPr="00344499" w:rsidRDefault="00772F0F" w:rsidP="00772F0F">
            <w:pPr>
              <w:rPr>
                <w:color w:val="000000"/>
                <w:sz w:val="24"/>
                <w:szCs w:val="24"/>
              </w:rPr>
            </w:pPr>
            <w:r w:rsidRPr="00344499">
              <w:rPr>
                <w:color w:val="000000"/>
                <w:sz w:val="24"/>
                <w:szCs w:val="24"/>
              </w:rPr>
              <w:t xml:space="preserve">Positive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-0.08</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0.09</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-0.17</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0.07</w:t>
            </w:r>
          </w:p>
        </w:tc>
      </w:tr>
      <w:tr w:rsidR="0090182E" w:rsidRPr="00344499" w:rsidTr="00344499">
        <w:tc>
          <w:tcPr>
            <w:tcW w:w="1704" w:type="dxa"/>
            <w:vAlign w:val="bottom"/>
          </w:tcPr>
          <w:p w:rsidR="0090182E" w:rsidRPr="00344499" w:rsidRDefault="00772F0F">
            <w:pPr>
              <w:rPr>
                <w:color w:val="000000"/>
                <w:sz w:val="24"/>
                <w:szCs w:val="24"/>
                <w:vertAlign w:val="subscript"/>
              </w:rPr>
            </w:pPr>
            <w:r w:rsidRPr="00344499">
              <w:rPr>
                <w:color w:val="000000"/>
                <w:sz w:val="24"/>
                <w:szCs w:val="24"/>
              </w:rPr>
              <w:t xml:space="preserve">Negative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-0.48</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-0.28</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-0.20</w:t>
            </w:r>
            <w:r w:rsidR="00772F0F" w:rsidRPr="00344499">
              <w:rPr>
                <w:color w:val="000000"/>
                <w:sz w:val="24"/>
                <w:szCs w:val="24"/>
              </w:rPr>
              <w:t>*</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0.10</w:t>
            </w:r>
          </w:p>
        </w:tc>
      </w:tr>
      <w:tr w:rsidR="0090182E" w:rsidRPr="00344499" w:rsidTr="00344499">
        <w:tc>
          <w:tcPr>
            <w:tcW w:w="1704" w:type="dxa"/>
            <w:vAlign w:val="bottom"/>
          </w:tcPr>
          <w:p w:rsidR="0090182E" w:rsidRPr="005719BE" w:rsidRDefault="00772F0F" w:rsidP="00772F0F">
            <w:pPr>
              <w:rPr>
                <w:color w:val="000000"/>
                <w:sz w:val="24"/>
                <w:szCs w:val="24"/>
              </w:rPr>
            </w:pPr>
            <w:r w:rsidRPr="00344499">
              <w:rPr>
                <w:color w:val="000000"/>
                <w:sz w:val="24"/>
                <w:szCs w:val="24"/>
              </w:rPr>
              <w:t>R</w:t>
            </w:r>
            <w:r w:rsidR="0090182E" w:rsidRPr="00344499">
              <w:rPr>
                <w:color w:val="000000"/>
                <w:sz w:val="24"/>
                <w:szCs w:val="24"/>
              </w:rPr>
              <w:t>es</w:t>
            </w:r>
            <w:r w:rsidRPr="00344499">
              <w:rPr>
                <w:color w:val="000000"/>
                <w:sz w:val="24"/>
                <w:szCs w:val="24"/>
              </w:rPr>
              <w:t>.</w:t>
            </w:r>
            <w:r w:rsidR="0090182E" w:rsidRPr="00344499">
              <w:rPr>
                <w:color w:val="000000"/>
                <w:sz w:val="24"/>
                <w:szCs w:val="24"/>
              </w:rPr>
              <w:t>tenure</w:t>
            </w:r>
            <w:r w:rsidRPr="00344499">
              <w:rPr>
                <w:color w:val="000000"/>
                <w:sz w:val="24"/>
                <w:szCs w:val="24"/>
                <w:vertAlign w:val="subscript"/>
              </w:rPr>
              <w:t>t-1</w:t>
            </w:r>
            <w:r w:rsidR="005719BE">
              <w:rPr>
                <w:color w:val="000000"/>
                <w:sz w:val="24"/>
                <w:szCs w:val="24"/>
              </w:rPr>
              <w:t xml:space="preserve"> yrs.</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0.57</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0.15</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0.42</w:t>
            </w:r>
            <w:r w:rsidR="00772F0F" w:rsidRPr="00344499">
              <w:rPr>
                <w:color w:val="000000"/>
                <w:sz w:val="24"/>
                <w:szCs w:val="24"/>
              </w:rPr>
              <w:t>*</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0.06</w:t>
            </w:r>
          </w:p>
        </w:tc>
      </w:tr>
      <w:tr w:rsidR="0090182E" w:rsidRPr="00344499" w:rsidTr="00344499">
        <w:tc>
          <w:tcPr>
            <w:tcW w:w="1704" w:type="dxa"/>
            <w:vAlign w:val="bottom"/>
          </w:tcPr>
          <w:p w:rsidR="0090182E" w:rsidRPr="00344499" w:rsidRDefault="00772F0F">
            <w:pPr>
              <w:rPr>
                <w:color w:val="000000"/>
                <w:sz w:val="24"/>
                <w:szCs w:val="24"/>
              </w:rPr>
            </w:pPr>
            <w:proofErr w:type="spellStart"/>
            <w:r w:rsidRPr="00344499">
              <w:rPr>
                <w:color w:val="000000"/>
                <w:sz w:val="24"/>
                <w:szCs w:val="24"/>
              </w:rPr>
              <w:t>R</w:t>
            </w:r>
            <w:r w:rsidR="0090182E" w:rsidRPr="00344499">
              <w:rPr>
                <w:color w:val="000000"/>
                <w:sz w:val="24"/>
                <w:szCs w:val="24"/>
              </w:rPr>
              <w:t>es</w:t>
            </w:r>
            <w:r w:rsidR="003F5F52">
              <w:rPr>
                <w:color w:val="000000"/>
                <w:sz w:val="24"/>
                <w:szCs w:val="24"/>
              </w:rPr>
              <w:t>.</w:t>
            </w:r>
            <w:r w:rsidR="0090182E" w:rsidRPr="00344499">
              <w:rPr>
                <w:color w:val="000000"/>
                <w:sz w:val="24"/>
                <w:szCs w:val="24"/>
              </w:rPr>
              <w:t>ten</w:t>
            </w:r>
            <w:r w:rsidRPr="00344499">
              <w:rPr>
                <w:color w:val="000000"/>
                <w:sz w:val="24"/>
                <w:szCs w:val="24"/>
              </w:rPr>
              <w:t>.</w:t>
            </w:r>
            <w:r w:rsidR="0090182E" w:rsidRPr="00344499">
              <w:rPr>
                <w:color w:val="000000"/>
                <w:sz w:val="24"/>
                <w:szCs w:val="24"/>
              </w:rPr>
              <w:t>sq</w:t>
            </w:r>
            <w:r w:rsidRPr="00344499">
              <w:rPr>
                <w:color w:val="000000"/>
                <w:sz w:val="24"/>
                <w:szCs w:val="24"/>
              </w:rPr>
              <w:t>uared</w:t>
            </w:r>
            <w:proofErr w:type="spellEnd"/>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0.02</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-0.79</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0.82</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0.45</w:t>
            </w:r>
          </w:p>
        </w:tc>
      </w:tr>
      <w:tr w:rsidR="0090182E" w:rsidRPr="00344499" w:rsidTr="00344499">
        <w:tc>
          <w:tcPr>
            <w:tcW w:w="1704" w:type="dxa"/>
            <w:vAlign w:val="bottom"/>
          </w:tcPr>
          <w:p w:rsidR="0090182E" w:rsidRPr="00344499" w:rsidRDefault="0090182E">
            <w:pPr>
              <w:rPr>
                <w:color w:val="000000"/>
                <w:sz w:val="24"/>
                <w:szCs w:val="24"/>
              </w:rPr>
            </w:pPr>
            <w:r w:rsidRPr="00344499">
              <w:rPr>
                <w:sz w:val="24"/>
                <w:szCs w:val="24"/>
              </w:rPr>
              <w:t>Log(real LA house price</w:t>
            </w:r>
            <w:r w:rsidRPr="00344499">
              <w:rPr>
                <w:sz w:val="24"/>
                <w:szCs w:val="24"/>
                <w:vertAlign w:val="subscript"/>
              </w:rPr>
              <w:t>t-1</w:t>
            </w:r>
            <w:r w:rsidRPr="00344499">
              <w:rPr>
                <w:sz w:val="24"/>
                <w:szCs w:val="24"/>
              </w:rPr>
              <w:t>)</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-1.32</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-0.23</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-1.09</w:t>
            </w:r>
            <w:r w:rsidR="00772F0F" w:rsidRPr="00344499">
              <w:rPr>
                <w:color w:val="000000"/>
                <w:sz w:val="24"/>
                <w:szCs w:val="24"/>
              </w:rPr>
              <w:t>*</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0.42</w:t>
            </w:r>
          </w:p>
        </w:tc>
      </w:tr>
      <w:tr w:rsidR="0090182E" w:rsidRPr="00344499" w:rsidTr="00344499">
        <w:tc>
          <w:tcPr>
            <w:tcW w:w="1704" w:type="dxa"/>
            <w:vAlign w:val="bottom"/>
          </w:tcPr>
          <w:p w:rsidR="0090182E" w:rsidRPr="00344499" w:rsidRDefault="0090182E">
            <w:pPr>
              <w:rPr>
                <w:color w:val="000000"/>
                <w:sz w:val="24"/>
                <w:szCs w:val="24"/>
                <w:vertAlign w:val="subscript"/>
              </w:rPr>
            </w:pPr>
            <w:r w:rsidRPr="00344499">
              <w:rPr>
                <w:color w:val="000000"/>
                <w:sz w:val="24"/>
                <w:szCs w:val="24"/>
              </w:rPr>
              <w:t>LA unemployment rate</w:t>
            </w:r>
            <w:r w:rsidRPr="00344499">
              <w:rPr>
                <w:color w:val="000000"/>
                <w:sz w:val="24"/>
                <w:szCs w:val="24"/>
                <w:vertAlign w:val="subscript"/>
              </w:rPr>
              <w:t>t-1</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-0.17</w:t>
            </w:r>
          </w:p>
        </w:tc>
        <w:tc>
          <w:tcPr>
            <w:tcW w:w="1704" w:type="dxa"/>
            <w:vAlign w:val="bottom"/>
          </w:tcPr>
          <w:p w:rsidR="0090182E" w:rsidRPr="00344499" w:rsidRDefault="0090182E" w:rsidP="00344499">
            <w:pPr>
              <w:jc w:val="center"/>
              <w:rPr>
                <w:color w:val="000000"/>
                <w:sz w:val="24"/>
                <w:szCs w:val="24"/>
              </w:rPr>
            </w:pPr>
            <w:r w:rsidRPr="00344499">
              <w:rPr>
                <w:color w:val="000000"/>
                <w:sz w:val="24"/>
                <w:szCs w:val="24"/>
              </w:rPr>
              <w:t>-0.04</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-0.13</w:t>
            </w:r>
            <w:r w:rsidR="00772F0F" w:rsidRPr="00344499">
              <w:rPr>
                <w:color w:val="000000"/>
                <w:sz w:val="24"/>
                <w:szCs w:val="24"/>
              </w:rPr>
              <w:t>*</w:t>
            </w:r>
          </w:p>
        </w:tc>
        <w:tc>
          <w:tcPr>
            <w:tcW w:w="1705" w:type="dxa"/>
            <w:vAlign w:val="bottom"/>
          </w:tcPr>
          <w:p w:rsidR="0090182E" w:rsidRPr="00344499" w:rsidRDefault="0090182E" w:rsidP="00344499">
            <w:pPr>
              <w:jc w:val="center"/>
              <w:rPr>
                <w:color w:val="000000"/>
                <w:sz w:val="24"/>
                <w:szCs w:val="24"/>
              </w:rPr>
            </w:pPr>
            <w:r w:rsidRPr="00344499">
              <w:rPr>
                <w:color w:val="000000"/>
                <w:sz w:val="24"/>
                <w:szCs w:val="24"/>
              </w:rPr>
              <w:t>0.06</w:t>
            </w:r>
          </w:p>
        </w:tc>
      </w:tr>
    </w:tbl>
    <w:p w:rsidR="0009214B" w:rsidRDefault="00772F0F" w:rsidP="00772F0F">
      <w:pPr>
        <w:rPr>
          <w:sz w:val="24"/>
          <w:szCs w:val="24"/>
        </w:rPr>
      </w:pPr>
      <w:r>
        <w:rPr>
          <w:sz w:val="24"/>
          <w:szCs w:val="24"/>
        </w:rPr>
        <w:t>*Statistically significant difference at the 0.05 level.</w:t>
      </w:r>
    </w:p>
    <w:p w:rsidR="00772F0F" w:rsidRDefault="00772F0F" w:rsidP="00772F0F">
      <w:pPr>
        <w:rPr>
          <w:sz w:val="24"/>
          <w:szCs w:val="24"/>
        </w:rPr>
      </w:pPr>
      <w:proofErr w:type="spellStart"/>
      <w:r>
        <w:rPr>
          <w:sz w:val="24"/>
          <w:szCs w:val="24"/>
        </w:rPr>
        <w:t>Hausman</w:t>
      </w:r>
      <w:proofErr w:type="spellEnd"/>
      <w:r>
        <w:rPr>
          <w:sz w:val="24"/>
          <w:szCs w:val="24"/>
        </w:rPr>
        <w:t xml:space="preserve"> test: chi-square (18 </w:t>
      </w:r>
      <w:proofErr w:type="spellStart"/>
      <w:r>
        <w:rPr>
          <w:sz w:val="24"/>
          <w:szCs w:val="24"/>
        </w:rPr>
        <w:t>df</w:t>
      </w:r>
      <w:proofErr w:type="spellEnd"/>
      <w:proofErr w:type="gramStart"/>
      <w:r>
        <w:rPr>
          <w:sz w:val="24"/>
          <w:szCs w:val="24"/>
        </w:rPr>
        <w:t>)=</w:t>
      </w:r>
      <w:proofErr w:type="gramEnd"/>
      <w:r w:rsidRPr="00772F0F">
        <w:t xml:space="preserve"> </w:t>
      </w:r>
      <w:r w:rsidRPr="00772F0F">
        <w:rPr>
          <w:sz w:val="24"/>
          <w:szCs w:val="24"/>
        </w:rPr>
        <w:t>295.34</w:t>
      </w:r>
      <w:r>
        <w:rPr>
          <w:sz w:val="24"/>
          <w:szCs w:val="24"/>
        </w:rPr>
        <w:t xml:space="preserve"> (p=0.0000).</w:t>
      </w:r>
    </w:p>
    <w:p w:rsidR="00772F0F" w:rsidRDefault="00772F0F" w:rsidP="0009214B">
      <w:pPr>
        <w:spacing w:line="480" w:lineRule="auto"/>
        <w:rPr>
          <w:sz w:val="24"/>
          <w:szCs w:val="24"/>
        </w:rPr>
      </w:pPr>
    </w:p>
    <w:p w:rsidR="0009214B" w:rsidRPr="0009214B" w:rsidRDefault="0009214B" w:rsidP="0009214B">
      <w:pPr>
        <w:spacing w:line="480" w:lineRule="auto"/>
        <w:rPr>
          <w:i/>
          <w:sz w:val="24"/>
          <w:szCs w:val="24"/>
        </w:rPr>
      </w:pPr>
      <w:r>
        <w:rPr>
          <w:i/>
          <w:sz w:val="24"/>
          <w:szCs w:val="24"/>
        </w:rPr>
        <w:t>Impacts of housing equity and house prices</w:t>
      </w:r>
    </w:p>
    <w:p w:rsidR="001E5AEB" w:rsidRDefault="001E5AEB" w:rsidP="0009214B">
      <w:pPr>
        <w:spacing w:line="480" w:lineRule="auto"/>
        <w:rPr>
          <w:sz w:val="24"/>
          <w:szCs w:val="24"/>
        </w:rPr>
      </w:pPr>
      <w:r>
        <w:rPr>
          <w:sz w:val="24"/>
          <w:szCs w:val="24"/>
        </w:rPr>
        <w:t>Because each woman has her own underlying mobility rate</w:t>
      </w:r>
      <w:r w:rsidR="00126F39">
        <w:rPr>
          <w:sz w:val="24"/>
          <w:szCs w:val="24"/>
        </w:rPr>
        <w:t xml:space="preserve"> (her fixed effect)</w:t>
      </w:r>
      <w:r>
        <w:rPr>
          <w:sz w:val="24"/>
          <w:szCs w:val="24"/>
        </w:rPr>
        <w:t xml:space="preserve">, </w:t>
      </w:r>
      <w:r w:rsidR="002A34F7">
        <w:rPr>
          <w:sz w:val="24"/>
          <w:szCs w:val="24"/>
        </w:rPr>
        <w:t xml:space="preserve">average </w:t>
      </w:r>
      <w:r>
        <w:rPr>
          <w:sz w:val="24"/>
          <w:szCs w:val="24"/>
        </w:rPr>
        <w:t>marginal effects cannot be calculated.  But Model 4 suggests that for a woman with an underlying annual movement rate around the mean of 8.6%</w:t>
      </w:r>
      <w:r w:rsidR="00126F39">
        <w:rPr>
          <w:sz w:val="24"/>
          <w:szCs w:val="24"/>
        </w:rPr>
        <w:t xml:space="preserve">, an increase in their </w:t>
      </w:r>
      <w:r>
        <w:rPr>
          <w:sz w:val="24"/>
          <w:szCs w:val="24"/>
        </w:rPr>
        <w:lastRenderedPageBreak/>
        <w:t>equity ratio of 0.10 would increase the probabili</w:t>
      </w:r>
      <w:r w:rsidR="004E028F">
        <w:rPr>
          <w:sz w:val="24"/>
          <w:szCs w:val="24"/>
        </w:rPr>
        <w:t>ty of moving by 0.013</w:t>
      </w:r>
      <w:r w:rsidR="004A4E7A">
        <w:rPr>
          <w:sz w:val="24"/>
          <w:szCs w:val="24"/>
        </w:rPr>
        <w:t xml:space="preserve"> (0.086*0.</w:t>
      </w:r>
      <w:r w:rsidR="004E028F">
        <w:rPr>
          <w:sz w:val="24"/>
          <w:szCs w:val="24"/>
        </w:rPr>
        <w:t>914*1.62</w:t>
      </w:r>
      <w:r>
        <w:rPr>
          <w:sz w:val="24"/>
          <w:szCs w:val="24"/>
        </w:rPr>
        <w:t>*0.10), which is quite substantial.</w:t>
      </w:r>
      <w:r w:rsidR="00E83549">
        <w:rPr>
          <w:rStyle w:val="FootnoteReference"/>
          <w:sz w:val="24"/>
          <w:szCs w:val="24"/>
        </w:rPr>
        <w:footnoteReference w:id="12"/>
      </w:r>
    </w:p>
    <w:p w:rsidR="005F387F" w:rsidRDefault="005F387F" w:rsidP="001E5AEB">
      <w:pPr>
        <w:spacing w:line="480" w:lineRule="auto"/>
        <w:ind w:firstLine="720"/>
        <w:rPr>
          <w:sz w:val="24"/>
          <w:szCs w:val="24"/>
        </w:rPr>
      </w:pPr>
      <w:r>
        <w:rPr>
          <w:sz w:val="24"/>
          <w:szCs w:val="24"/>
        </w:rPr>
        <w:t>Moves that involve a move out of owner-occupation to renting may be affected in a different way by the equity ratio and house prices</w:t>
      </w:r>
      <w:r w:rsidR="00A96F1A">
        <w:rPr>
          <w:sz w:val="24"/>
          <w:szCs w:val="24"/>
        </w:rPr>
        <w:t xml:space="preserve"> than own-to-own moves</w:t>
      </w:r>
      <w:r>
        <w:rPr>
          <w:sz w:val="24"/>
          <w:szCs w:val="24"/>
        </w:rPr>
        <w:t>.  For instance, such moves could reflect mortgage defaults, or they may be discourage</w:t>
      </w:r>
      <w:r w:rsidR="00E34CB9">
        <w:rPr>
          <w:sz w:val="24"/>
          <w:szCs w:val="24"/>
        </w:rPr>
        <w:t>d</w:t>
      </w:r>
      <w:r>
        <w:rPr>
          <w:sz w:val="24"/>
          <w:szCs w:val="24"/>
        </w:rPr>
        <w:t xml:space="preserve"> less by low equity</w:t>
      </w:r>
      <w:r w:rsidR="00E34CB9">
        <w:rPr>
          <w:sz w:val="24"/>
          <w:szCs w:val="24"/>
        </w:rPr>
        <w:t>, provided that the household has some positive equity.  We re-estimated Model 4 of Table 2 for own-to-own moves only, censoring other moves.  The estimated impact of housing equity on the log-odds of own-to-own residential mobility is indeed larg</w:t>
      </w:r>
      <w:r w:rsidR="00721A0A">
        <w:rPr>
          <w:sz w:val="24"/>
          <w:szCs w:val="24"/>
        </w:rPr>
        <w:t>er than that for all moves: 1.89</w:t>
      </w:r>
      <w:r w:rsidR="00E34CB9">
        <w:rPr>
          <w:sz w:val="24"/>
          <w:szCs w:val="24"/>
        </w:rPr>
        <w:t xml:space="preserve"> (std. error=0.51), although the increase is </w:t>
      </w:r>
      <w:r w:rsidR="005361FA">
        <w:rPr>
          <w:sz w:val="24"/>
          <w:szCs w:val="24"/>
        </w:rPr>
        <w:t>only about one-half of the standard error.</w:t>
      </w:r>
      <w:r w:rsidR="005361FA">
        <w:rPr>
          <w:rStyle w:val="FootnoteReference"/>
          <w:sz w:val="24"/>
          <w:szCs w:val="24"/>
        </w:rPr>
        <w:footnoteReference w:id="13"/>
      </w:r>
    </w:p>
    <w:p w:rsidR="00C200AA" w:rsidRDefault="00233249" w:rsidP="00E96236">
      <w:pPr>
        <w:spacing w:line="480" w:lineRule="auto"/>
        <w:ind w:firstLine="720"/>
        <w:rPr>
          <w:sz w:val="24"/>
          <w:szCs w:val="24"/>
        </w:rPr>
      </w:pPr>
      <w:r>
        <w:rPr>
          <w:sz w:val="24"/>
          <w:szCs w:val="24"/>
        </w:rPr>
        <w:t xml:space="preserve">With respect to the effect of the market </w:t>
      </w:r>
      <w:r w:rsidR="002A34F7">
        <w:rPr>
          <w:sz w:val="24"/>
          <w:szCs w:val="24"/>
        </w:rPr>
        <w:t xml:space="preserve">price of housing services </w:t>
      </w:r>
      <w:r w:rsidR="00126F39">
        <w:rPr>
          <w:sz w:val="24"/>
          <w:szCs w:val="24"/>
        </w:rPr>
        <w:t>(P</w:t>
      </w:r>
      <w:r w:rsidR="00D0668C">
        <w:rPr>
          <w:sz w:val="24"/>
          <w:szCs w:val="24"/>
        </w:rPr>
        <w:t xml:space="preserve"> in the theoretical model)</w:t>
      </w:r>
      <w:r>
        <w:rPr>
          <w:sz w:val="24"/>
          <w:szCs w:val="24"/>
        </w:rPr>
        <w:t xml:space="preserve">, </w:t>
      </w:r>
      <w:r w:rsidR="00303A0C">
        <w:rPr>
          <w:sz w:val="24"/>
          <w:szCs w:val="24"/>
        </w:rPr>
        <w:t xml:space="preserve">Table 2 </w:t>
      </w:r>
      <w:r w:rsidR="00C200AA">
        <w:rPr>
          <w:sz w:val="24"/>
          <w:szCs w:val="24"/>
        </w:rPr>
        <w:t xml:space="preserve">indicates a negative effect of the average house price </w:t>
      </w:r>
      <w:r w:rsidR="00B90B8C">
        <w:rPr>
          <w:sz w:val="24"/>
          <w:szCs w:val="24"/>
        </w:rPr>
        <w:t xml:space="preserve">(relative to the retail price index) </w:t>
      </w:r>
      <w:r w:rsidR="00C200AA">
        <w:rPr>
          <w:sz w:val="24"/>
          <w:szCs w:val="24"/>
        </w:rPr>
        <w:t>in the local authority area in the previous year</w:t>
      </w:r>
      <w:r w:rsidR="00094C6B">
        <w:rPr>
          <w:sz w:val="24"/>
          <w:szCs w:val="24"/>
        </w:rPr>
        <w:t xml:space="preserve"> in every model</w:t>
      </w:r>
      <w:r w:rsidR="00B90B8C">
        <w:rPr>
          <w:sz w:val="24"/>
          <w:szCs w:val="24"/>
        </w:rPr>
        <w:t>,</w:t>
      </w:r>
      <w:r w:rsidR="00C200AA">
        <w:rPr>
          <w:sz w:val="24"/>
          <w:szCs w:val="24"/>
        </w:rPr>
        <w:t xml:space="preserve"> </w:t>
      </w:r>
      <w:r w:rsidR="007035BD">
        <w:rPr>
          <w:sz w:val="24"/>
          <w:szCs w:val="24"/>
        </w:rPr>
        <w:t xml:space="preserve">as </w:t>
      </w:r>
      <w:r w:rsidR="00B90B8C">
        <w:rPr>
          <w:sz w:val="24"/>
          <w:szCs w:val="24"/>
        </w:rPr>
        <w:t>predicted</w:t>
      </w:r>
      <w:r w:rsidR="007035BD">
        <w:rPr>
          <w:sz w:val="24"/>
          <w:szCs w:val="24"/>
        </w:rPr>
        <w:t xml:space="preserve"> from</w:t>
      </w:r>
      <w:r w:rsidR="00C200AA">
        <w:rPr>
          <w:sz w:val="24"/>
          <w:szCs w:val="24"/>
        </w:rPr>
        <w:t xml:space="preserve"> the theoretical model</w:t>
      </w:r>
      <w:r w:rsidR="007035BD">
        <w:rPr>
          <w:sz w:val="24"/>
          <w:szCs w:val="24"/>
        </w:rPr>
        <w:t>.</w:t>
      </w:r>
      <w:r w:rsidR="00B90B8C">
        <w:rPr>
          <w:rStyle w:val="FootnoteReference"/>
          <w:sz w:val="24"/>
          <w:szCs w:val="24"/>
        </w:rPr>
        <w:footnoteReference w:id="14"/>
      </w:r>
      <w:r w:rsidR="007035BD">
        <w:rPr>
          <w:sz w:val="24"/>
          <w:szCs w:val="24"/>
        </w:rPr>
        <w:t xml:space="preserve">  </w:t>
      </w:r>
      <w:r w:rsidR="00D0668C">
        <w:rPr>
          <w:sz w:val="24"/>
          <w:szCs w:val="24"/>
        </w:rPr>
        <w:t>We do not find evidence of a significant interaction effect between the house price an</w:t>
      </w:r>
      <w:r w:rsidR="00D83070">
        <w:rPr>
          <w:sz w:val="24"/>
          <w:szCs w:val="24"/>
        </w:rPr>
        <w:t>d the equity ratio (p-value=0.49</w:t>
      </w:r>
      <w:r w:rsidR="00D0668C">
        <w:rPr>
          <w:sz w:val="24"/>
          <w:szCs w:val="24"/>
        </w:rPr>
        <w:t xml:space="preserve">).  </w:t>
      </w:r>
      <w:r w:rsidR="00B90B8C">
        <w:rPr>
          <w:sz w:val="24"/>
          <w:szCs w:val="24"/>
        </w:rPr>
        <w:t>In the model</w:t>
      </w:r>
      <w:r w:rsidR="00D0668C">
        <w:rPr>
          <w:sz w:val="24"/>
          <w:szCs w:val="24"/>
        </w:rPr>
        <w:t>,</w:t>
      </w:r>
      <w:r w:rsidR="00B90B8C">
        <w:rPr>
          <w:sz w:val="24"/>
          <w:szCs w:val="24"/>
        </w:rPr>
        <w:t xml:space="preserve"> an increase in</w:t>
      </w:r>
      <w:r w:rsidR="00102B66">
        <w:rPr>
          <w:sz w:val="24"/>
          <w:szCs w:val="24"/>
        </w:rPr>
        <w:t xml:space="preserve"> the</w:t>
      </w:r>
      <w:r w:rsidR="00B90B8C">
        <w:rPr>
          <w:sz w:val="24"/>
          <w:szCs w:val="24"/>
        </w:rPr>
        <w:t xml:space="preserve"> </w:t>
      </w:r>
      <w:r w:rsidR="009A039E">
        <w:rPr>
          <w:sz w:val="24"/>
          <w:szCs w:val="24"/>
        </w:rPr>
        <w:t xml:space="preserve">relative </w:t>
      </w:r>
      <w:r w:rsidR="00102B66">
        <w:rPr>
          <w:sz w:val="24"/>
          <w:szCs w:val="24"/>
        </w:rPr>
        <w:t>house price</w:t>
      </w:r>
      <w:r w:rsidR="00B90B8C">
        <w:rPr>
          <w:sz w:val="24"/>
          <w:szCs w:val="24"/>
        </w:rPr>
        <w:t xml:space="preserve"> has two influences: it raises the equity ratio</w:t>
      </w:r>
      <w:r w:rsidR="009A039E">
        <w:rPr>
          <w:sz w:val="24"/>
          <w:szCs w:val="24"/>
        </w:rPr>
        <w:t xml:space="preserve"> (e.g. given</w:t>
      </w:r>
      <w:r w:rsidR="00B90B8C">
        <w:rPr>
          <w:sz w:val="24"/>
          <w:szCs w:val="24"/>
        </w:rPr>
        <w:t xml:space="preserve"> a 10% increase in house prices</w:t>
      </w:r>
      <w:r w:rsidR="00102B66">
        <w:rPr>
          <w:sz w:val="24"/>
          <w:szCs w:val="24"/>
        </w:rPr>
        <w:t>, an initial</w:t>
      </w:r>
      <w:r w:rsidR="00B90B8C">
        <w:rPr>
          <w:sz w:val="24"/>
          <w:szCs w:val="24"/>
        </w:rPr>
        <w:t xml:space="preserve"> equity ratio </w:t>
      </w:r>
      <w:r w:rsidR="00102B66">
        <w:rPr>
          <w:sz w:val="24"/>
          <w:szCs w:val="24"/>
        </w:rPr>
        <w:t>of 20% would rise</w:t>
      </w:r>
      <w:r w:rsidR="00B90B8C">
        <w:rPr>
          <w:sz w:val="24"/>
          <w:szCs w:val="24"/>
        </w:rPr>
        <w:t xml:space="preserve"> to 27</w:t>
      </w:r>
      <w:r w:rsidR="009A039E">
        <w:rPr>
          <w:sz w:val="24"/>
          <w:szCs w:val="24"/>
        </w:rPr>
        <w:t xml:space="preserve">%), which tends to increase mobility, but </w:t>
      </w:r>
      <w:r w:rsidR="00303A0C">
        <w:rPr>
          <w:sz w:val="24"/>
          <w:szCs w:val="24"/>
        </w:rPr>
        <w:t xml:space="preserve">the house price increase </w:t>
      </w:r>
      <w:r w:rsidR="009A039E">
        <w:rPr>
          <w:sz w:val="24"/>
          <w:szCs w:val="24"/>
        </w:rPr>
        <w:t xml:space="preserve">also reduces mobility </w:t>
      </w:r>
      <w:r w:rsidR="00102B66">
        <w:rPr>
          <w:sz w:val="24"/>
          <w:szCs w:val="24"/>
        </w:rPr>
        <w:t xml:space="preserve">directly, </w:t>
      </w:r>
      <w:r w:rsidR="009A039E">
        <w:rPr>
          <w:sz w:val="24"/>
          <w:szCs w:val="24"/>
        </w:rPr>
        <w:t>because the household aims to improve its housing</w:t>
      </w:r>
      <w:r w:rsidR="00C4153E">
        <w:rPr>
          <w:sz w:val="24"/>
          <w:szCs w:val="24"/>
        </w:rPr>
        <w:t xml:space="preserve"> (λ&gt;1)</w:t>
      </w:r>
      <w:r w:rsidR="009A039E">
        <w:rPr>
          <w:sz w:val="24"/>
          <w:szCs w:val="24"/>
        </w:rPr>
        <w:t>.  The parameter estimates in Model 4 of Table 2 suggest that these two effects are offsetting</w:t>
      </w:r>
      <w:r w:rsidR="00790ED9">
        <w:rPr>
          <w:sz w:val="24"/>
          <w:szCs w:val="24"/>
        </w:rPr>
        <w:t xml:space="preserve"> </w:t>
      </w:r>
      <w:r w:rsidR="00AA5AB0">
        <w:rPr>
          <w:sz w:val="24"/>
          <w:szCs w:val="24"/>
        </w:rPr>
        <w:t>(</w:t>
      </w:r>
      <w:r w:rsidR="004E028F">
        <w:rPr>
          <w:sz w:val="24"/>
          <w:szCs w:val="24"/>
        </w:rPr>
        <w:t>0.086*0.914*1.62*0.07=0.009</w:t>
      </w:r>
      <w:r w:rsidR="00790ED9">
        <w:rPr>
          <w:sz w:val="24"/>
          <w:szCs w:val="24"/>
        </w:rPr>
        <w:t xml:space="preserve"> and </w:t>
      </w:r>
      <w:r w:rsidR="004E028F">
        <w:rPr>
          <w:sz w:val="24"/>
          <w:szCs w:val="24"/>
        </w:rPr>
        <w:t>-0.086*0.914 *1.32*</w:t>
      </w:r>
      <w:r w:rsidR="008B40CF">
        <w:rPr>
          <w:sz w:val="24"/>
          <w:szCs w:val="24"/>
        </w:rPr>
        <w:t xml:space="preserve"> </w:t>
      </w:r>
      <w:r w:rsidR="004E028F">
        <w:rPr>
          <w:sz w:val="24"/>
          <w:szCs w:val="24"/>
        </w:rPr>
        <w:t>0.10</w:t>
      </w:r>
      <w:r w:rsidR="008B40CF">
        <w:rPr>
          <w:sz w:val="24"/>
          <w:szCs w:val="24"/>
        </w:rPr>
        <w:t xml:space="preserve"> </w:t>
      </w:r>
      <w:r w:rsidR="004E028F">
        <w:rPr>
          <w:sz w:val="24"/>
          <w:szCs w:val="24"/>
        </w:rPr>
        <w:t>=</w:t>
      </w:r>
      <w:r w:rsidR="008B40CF">
        <w:rPr>
          <w:sz w:val="24"/>
          <w:szCs w:val="24"/>
        </w:rPr>
        <w:t xml:space="preserve"> </w:t>
      </w:r>
      <w:r w:rsidR="004E028F">
        <w:rPr>
          <w:sz w:val="24"/>
          <w:szCs w:val="24"/>
        </w:rPr>
        <w:lastRenderedPageBreak/>
        <w:t>-0.010</w:t>
      </w:r>
      <w:r w:rsidR="00790ED9">
        <w:rPr>
          <w:sz w:val="24"/>
          <w:szCs w:val="24"/>
        </w:rPr>
        <w:t>, respectively</w:t>
      </w:r>
      <w:r w:rsidR="00AA5AB0">
        <w:rPr>
          <w:sz w:val="24"/>
          <w:szCs w:val="24"/>
        </w:rPr>
        <w:t>)</w:t>
      </w:r>
      <w:r w:rsidR="009A039E">
        <w:rPr>
          <w:sz w:val="24"/>
          <w:szCs w:val="24"/>
        </w:rPr>
        <w:t>.  But a rise in nominal house prices (matched by a rise in other prices) only affects mobility through the equity ratio effect</w:t>
      </w:r>
      <w:r w:rsidR="00102B66">
        <w:rPr>
          <w:sz w:val="24"/>
          <w:szCs w:val="24"/>
        </w:rPr>
        <w:t>, thereby raising it (e.g</w:t>
      </w:r>
      <w:r w:rsidR="00694F99">
        <w:rPr>
          <w:sz w:val="24"/>
          <w:szCs w:val="24"/>
        </w:rPr>
        <w:t>.</w:t>
      </w:r>
      <w:r w:rsidR="00102B66">
        <w:rPr>
          <w:sz w:val="24"/>
          <w:szCs w:val="24"/>
        </w:rPr>
        <w:t xml:space="preserve"> a </w:t>
      </w:r>
      <w:r w:rsidR="009A039E">
        <w:rPr>
          <w:sz w:val="24"/>
          <w:szCs w:val="24"/>
        </w:rPr>
        <w:t xml:space="preserve">rise in the equity ratio from 20% to 27% </w:t>
      </w:r>
      <w:r w:rsidR="00102B66">
        <w:rPr>
          <w:sz w:val="24"/>
          <w:szCs w:val="24"/>
        </w:rPr>
        <w:t xml:space="preserve">arising from a </w:t>
      </w:r>
      <w:r w:rsidR="00790ED9">
        <w:rPr>
          <w:sz w:val="24"/>
          <w:szCs w:val="24"/>
        </w:rPr>
        <w:t xml:space="preserve">general </w:t>
      </w:r>
      <w:r w:rsidR="00102B66">
        <w:rPr>
          <w:sz w:val="24"/>
          <w:szCs w:val="24"/>
        </w:rPr>
        <w:t xml:space="preserve">10% increase prices </w:t>
      </w:r>
      <w:r w:rsidR="009A039E">
        <w:rPr>
          <w:sz w:val="24"/>
          <w:szCs w:val="24"/>
        </w:rPr>
        <w:t>would</w:t>
      </w:r>
      <w:r w:rsidR="004E028F">
        <w:rPr>
          <w:sz w:val="24"/>
          <w:szCs w:val="24"/>
        </w:rPr>
        <w:t xml:space="preserve"> raise the mobility rate by 0.009</w:t>
      </w:r>
      <w:r w:rsidR="009A039E">
        <w:rPr>
          <w:sz w:val="24"/>
          <w:szCs w:val="24"/>
        </w:rPr>
        <w:t xml:space="preserve">).  </w:t>
      </w:r>
    </w:p>
    <w:p w:rsidR="0053135A" w:rsidRDefault="0053135A" w:rsidP="002A34F7">
      <w:pPr>
        <w:spacing w:line="480" w:lineRule="auto"/>
        <w:rPr>
          <w:sz w:val="24"/>
          <w:szCs w:val="24"/>
        </w:rPr>
      </w:pPr>
      <w:r>
        <w:rPr>
          <w:sz w:val="24"/>
          <w:szCs w:val="24"/>
        </w:rPr>
        <w:tab/>
        <w:t xml:space="preserve">There may be concern that house price effects may be partially reflecting local labour market effects.  To address this, we </w:t>
      </w:r>
      <w:r w:rsidR="001F1402">
        <w:rPr>
          <w:sz w:val="24"/>
          <w:szCs w:val="24"/>
        </w:rPr>
        <w:t xml:space="preserve">have </w:t>
      </w:r>
      <w:r>
        <w:rPr>
          <w:sz w:val="24"/>
          <w:szCs w:val="24"/>
        </w:rPr>
        <w:t>include</w:t>
      </w:r>
      <w:r w:rsidR="001F1402">
        <w:rPr>
          <w:sz w:val="24"/>
          <w:szCs w:val="24"/>
        </w:rPr>
        <w:t>d</w:t>
      </w:r>
      <w:r>
        <w:rPr>
          <w:sz w:val="24"/>
          <w:szCs w:val="24"/>
        </w:rPr>
        <w:t xml:space="preserve"> the average local unemployment rate in the local area in the previous year in the mobility equation.  A one percentage point higher unemployment rate is found to reduce the log odds of movement by 0.17 (std. error=0.07).  </w:t>
      </w:r>
    </w:p>
    <w:p w:rsidR="00AA5AB0" w:rsidRPr="00AA5AB0" w:rsidRDefault="00AA5AB0" w:rsidP="00AA5AB0">
      <w:pPr>
        <w:spacing w:line="480" w:lineRule="auto"/>
        <w:rPr>
          <w:i/>
          <w:sz w:val="24"/>
          <w:szCs w:val="24"/>
        </w:rPr>
      </w:pPr>
      <w:r>
        <w:rPr>
          <w:i/>
          <w:sz w:val="24"/>
          <w:szCs w:val="24"/>
        </w:rPr>
        <w:t>Addressing Measurement error</w:t>
      </w:r>
    </w:p>
    <w:p w:rsidR="00B7726F" w:rsidRDefault="00B21C42" w:rsidP="00AA5AB0">
      <w:pPr>
        <w:spacing w:line="480" w:lineRule="auto"/>
        <w:rPr>
          <w:sz w:val="24"/>
          <w:szCs w:val="24"/>
        </w:rPr>
      </w:pPr>
      <w:r>
        <w:rPr>
          <w:sz w:val="24"/>
          <w:szCs w:val="24"/>
        </w:rPr>
        <w:t xml:space="preserve">In order to address measurement error in self-assessed current home values, we instrument the equity ratio using the </w:t>
      </w:r>
      <w:r w:rsidR="008B40CF">
        <w:rPr>
          <w:sz w:val="24"/>
          <w:szCs w:val="24"/>
        </w:rPr>
        <w:t>sales volume</w:t>
      </w:r>
      <w:r>
        <w:rPr>
          <w:sz w:val="24"/>
          <w:szCs w:val="24"/>
        </w:rPr>
        <w:t xml:space="preserve"> in t</w:t>
      </w:r>
      <w:r w:rsidR="00EA2DDA">
        <w:rPr>
          <w:sz w:val="24"/>
          <w:szCs w:val="24"/>
        </w:rPr>
        <w:t xml:space="preserve">he household’s local authority and </w:t>
      </w:r>
      <w:r w:rsidR="003570F1">
        <w:rPr>
          <w:sz w:val="24"/>
          <w:szCs w:val="24"/>
        </w:rPr>
        <w:t xml:space="preserve">in the previous year and the </w:t>
      </w:r>
      <w:r>
        <w:rPr>
          <w:sz w:val="24"/>
          <w:szCs w:val="24"/>
        </w:rPr>
        <w:t xml:space="preserve">original mortgage value </w:t>
      </w:r>
      <w:r w:rsidR="00EA2DDA">
        <w:rPr>
          <w:sz w:val="24"/>
          <w:szCs w:val="24"/>
        </w:rPr>
        <w:t>at purchase</w:t>
      </w:r>
      <w:r>
        <w:rPr>
          <w:sz w:val="24"/>
          <w:szCs w:val="24"/>
        </w:rPr>
        <w:t xml:space="preserve">.  </w:t>
      </w:r>
      <w:r w:rsidR="00D0668C">
        <w:rPr>
          <w:sz w:val="24"/>
          <w:szCs w:val="24"/>
        </w:rPr>
        <w:t xml:space="preserve">As </w:t>
      </w:r>
      <w:r w:rsidR="00EA2DDA">
        <w:rPr>
          <w:sz w:val="24"/>
          <w:szCs w:val="24"/>
        </w:rPr>
        <w:t xml:space="preserve">the under-identification test at </w:t>
      </w:r>
      <w:r w:rsidR="003570F1">
        <w:rPr>
          <w:sz w:val="24"/>
          <w:szCs w:val="24"/>
        </w:rPr>
        <w:t>the bottom of Table 4</w:t>
      </w:r>
      <w:r w:rsidR="00D0668C">
        <w:rPr>
          <w:sz w:val="24"/>
          <w:szCs w:val="24"/>
        </w:rPr>
        <w:t xml:space="preserve"> shows, these are very </w:t>
      </w:r>
      <w:r w:rsidR="00D9596A">
        <w:rPr>
          <w:sz w:val="24"/>
          <w:szCs w:val="24"/>
        </w:rPr>
        <w:t xml:space="preserve">strong </w:t>
      </w:r>
      <w:r w:rsidR="00EA2DDA">
        <w:rPr>
          <w:sz w:val="24"/>
          <w:szCs w:val="24"/>
        </w:rPr>
        <w:t xml:space="preserve">instruments.  </w:t>
      </w:r>
    </w:p>
    <w:p w:rsidR="006E4198" w:rsidRDefault="00211197" w:rsidP="00B7726F">
      <w:pPr>
        <w:spacing w:line="480" w:lineRule="auto"/>
        <w:ind w:firstLine="720"/>
        <w:rPr>
          <w:sz w:val="24"/>
          <w:szCs w:val="24"/>
        </w:rPr>
      </w:pPr>
      <w:r>
        <w:rPr>
          <w:sz w:val="24"/>
          <w:szCs w:val="24"/>
        </w:rPr>
        <w:t xml:space="preserve">The instrumental variable (IV) estimates </w:t>
      </w:r>
      <w:r w:rsidR="003570F1">
        <w:rPr>
          <w:sz w:val="24"/>
          <w:szCs w:val="24"/>
        </w:rPr>
        <w:t>in column 2 of Table 4</w:t>
      </w:r>
      <w:r w:rsidR="00574843">
        <w:rPr>
          <w:sz w:val="24"/>
          <w:szCs w:val="24"/>
        </w:rPr>
        <w:t xml:space="preserve"> </w:t>
      </w:r>
      <w:r>
        <w:rPr>
          <w:sz w:val="24"/>
          <w:szCs w:val="24"/>
        </w:rPr>
        <w:t xml:space="preserve">are obtained from a fixed effects linear probability model, which can be interpreted as an estimate of the conditional expectation function for the movement variable. </w:t>
      </w:r>
      <w:r w:rsidR="00574843">
        <w:rPr>
          <w:color w:val="FF0000"/>
          <w:sz w:val="24"/>
          <w:szCs w:val="24"/>
        </w:rPr>
        <w:t xml:space="preserve"> </w:t>
      </w:r>
      <w:r w:rsidR="00574843" w:rsidRPr="00574843">
        <w:rPr>
          <w:sz w:val="24"/>
          <w:szCs w:val="24"/>
        </w:rPr>
        <w:t xml:space="preserve">We use a </w:t>
      </w:r>
      <w:r w:rsidRPr="00574843">
        <w:rPr>
          <w:sz w:val="24"/>
          <w:szCs w:val="24"/>
        </w:rPr>
        <w:t xml:space="preserve">GMM </w:t>
      </w:r>
      <w:r w:rsidR="00574843" w:rsidRPr="00574843">
        <w:rPr>
          <w:sz w:val="24"/>
          <w:szCs w:val="24"/>
        </w:rPr>
        <w:t xml:space="preserve">estimation procedure, which produces </w:t>
      </w:r>
      <w:r w:rsidR="00574843">
        <w:rPr>
          <w:sz w:val="24"/>
          <w:szCs w:val="24"/>
        </w:rPr>
        <w:t xml:space="preserve">estimates that are </w:t>
      </w:r>
      <w:r w:rsidR="00B7726F">
        <w:rPr>
          <w:sz w:val="24"/>
          <w:szCs w:val="24"/>
        </w:rPr>
        <w:t xml:space="preserve">efficient </w:t>
      </w:r>
      <w:r w:rsidR="00574843">
        <w:rPr>
          <w:sz w:val="24"/>
          <w:szCs w:val="24"/>
        </w:rPr>
        <w:t xml:space="preserve">for </w:t>
      </w:r>
      <w:r w:rsidR="00574843" w:rsidRPr="00574843">
        <w:rPr>
          <w:sz w:val="24"/>
          <w:szCs w:val="24"/>
        </w:rPr>
        <w:t>arbitrary hetero</w:t>
      </w:r>
      <w:r w:rsidR="00B7726F">
        <w:rPr>
          <w:sz w:val="24"/>
          <w:szCs w:val="24"/>
        </w:rPr>
        <w:t>-</w:t>
      </w:r>
      <w:proofErr w:type="spellStart"/>
      <w:r w:rsidR="00574843" w:rsidRPr="00574843">
        <w:rPr>
          <w:sz w:val="24"/>
          <w:szCs w:val="24"/>
        </w:rPr>
        <w:t>skedasticity</w:t>
      </w:r>
      <w:proofErr w:type="spellEnd"/>
      <w:r w:rsidR="00574843" w:rsidRPr="00574843">
        <w:rPr>
          <w:sz w:val="24"/>
          <w:szCs w:val="24"/>
        </w:rPr>
        <w:t xml:space="preserve"> </w:t>
      </w:r>
      <w:r w:rsidR="00574843">
        <w:rPr>
          <w:sz w:val="24"/>
          <w:szCs w:val="24"/>
        </w:rPr>
        <w:t xml:space="preserve">and </w:t>
      </w:r>
      <w:r w:rsidRPr="00574843">
        <w:rPr>
          <w:sz w:val="24"/>
          <w:szCs w:val="24"/>
        </w:rPr>
        <w:t>standard errors</w:t>
      </w:r>
      <w:r w:rsidR="00574843" w:rsidRPr="00574843">
        <w:rPr>
          <w:sz w:val="24"/>
          <w:szCs w:val="24"/>
        </w:rPr>
        <w:t xml:space="preserve"> robust to </w:t>
      </w:r>
      <w:proofErr w:type="spellStart"/>
      <w:r w:rsidR="00574843" w:rsidRPr="00574843">
        <w:rPr>
          <w:sz w:val="24"/>
          <w:szCs w:val="24"/>
        </w:rPr>
        <w:t>heteroskedasticity</w:t>
      </w:r>
      <w:proofErr w:type="spellEnd"/>
      <w:r w:rsidR="00574843" w:rsidRPr="00574843">
        <w:rPr>
          <w:sz w:val="24"/>
          <w:szCs w:val="24"/>
        </w:rPr>
        <w:t xml:space="preserve">.  </w:t>
      </w:r>
      <w:r>
        <w:rPr>
          <w:sz w:val="24"/>
          <w:szCs w:val="24"/>
        </w:rPr>
        <w:t>For comparison purposes, estimate</w:t>
      </w:r>
      <w:r w:rsidR="003570F1">
        <w:rPr>
          <w:sz w:val="24"/>
          <w:szCs w:val="24"/>
        </w:rPr>
        <w:t>s in the first column of Table 4</w:t>
      </w:r>
      <w:r>
        <w:rPr>
          <w:sz w:val="24"/>
          <w:szCs w:val="24"/>
        </w:rPr>
        <w:t xml:space="preserve"> show parameter estimates from an ordinary fixed effects linear probability model.</w:t>
      </w:r>
      <w:r>
        <w:rPr>
          <w:rStyle w:val="FootnoteReference"/>
          <w:sz w:val="24"/>
          <w:szCs w:val="24"/>
        </w:rPr>
        <w:footnoteReference w:id="15"/>
      </w:r>
      <w:r>
        <w:rPr>
          <w:sz w:val="24"/>
          <w:szCs w:val="24"/>
        </w:rPr>
        <w:t xml:space="preserve"> </w:t>
      </w:r>
      <w:r w:rsidR="0071427E">
        <w:rPr>
          <w:sz w:val="24"/>
          <w:szCs w:val="24"/>
        </w:rPr>
        <w:t xml:space="preserve">The effects of the equity ratio and relative house price are roughly the same as </w:t>
      </w:r>
      <w:r w:rsidR="004C67B3">
        <w:rPr>
          <w:sz w:val="24"/>
          <w:szCs w:val="24"/>
        </w:rPr>
        <w:t xml:space="preserve">the marginal effects </w:t>
      </w:r>
      <w:r w:rsidR="0071427E">
        <w:rPr>
          <w:sz w:val="24"/>
          <w:szCs w:val="24"/>
        </w:rPr>
        <w:t xml:space="preserve">in the </w:t>
      </w:r>
      <w:r w:rsidR="004C67B3">
        <w:rPr>
          <w:sz w:val="24"/>
          <w:szCs w:val="24"/>
        </w:rPr>
        <w:t>conditional</w:t>
      </w:r>
      <w:r w:rsidR="0071427E">
        <w:rPr>
          <w:sz w:val="24"/>
          <w:szCs w:val="24"/>
        </w:rPr>
        <w:t xml:space="preserve"> </w:t>
      </w:r>
      <w:proofErr w:type="spellStart"/>
      <w:r w:rsidR="0071427E">
        <w:rPr>
          <w:sz w:val="24"/>
          <w:szCs w:val="24"/>
        </w:rPr>
        <w:t>logit</w:t>
      </w:r>
      <w:proofErr w:type="spellEnd"/>
      <w:r w:rsidR="0071427E">
        <w:rPr>
          <w:sz w:val="24"/>
          <w:szCs w:val="24"/>
        </w:rPr>
        <w:t xml:space="preserve"> model </w:t>
      </w:r>
      <w:r w:rsidR="00303A0C">
        <w:rPr>
          <w:sz w:val="24"/>
          <w:szCs w:val="24"/>
        </w:rPr>
        <w:t xml:space="preserve">when calculated </w:t>
      </w:r>
      <w:r w:rsidR="0071427E">
        <w:rPr>
          <w:sz w:val="24"/>
          <w:szCs w:val="24"/>
        </w:rPr>
        <w:t>around the mean movement rate.</w:t>
      </w:r>
      <w:r w:rsidR="00DD1D4E">
        <w:rPr>
          <w:sz w:val="24"/>
          <w:szCs w:val="24"/>
        </w:rPr>
        <w:t xml:space="preserve">  The IV estimate of the impact of the equity ratio </w:t>
      </w:r>
      <w:r w:rsidR="003570F1">
        <w:rPr>
          <w:sz w:val="24"/>
          <w:szCs w:val="24"/>
        </w:rPr>
        <w:t>in column 2 of Table 4</w:t>
      </w:r>
      <w:r w:rsidR="006057F0">
        <w:rPr>
          <w:sz w:val="24"/>
          <w:szCs w:val="24"/>
        </w:rPr>
        <w:t xml:space="preserve"> </w:t>
      </w:r>
      <w:r w:rsidR="00DD1D4E">
        <w:rPr>
          <w:sz w:val="24"/>
          <w:szCs w:val="24"/>
        </w:rPr>
        <w:t xml:space="preserve">is </w:t>
      </w:r>
      <w:r w:rsidR="00574843">
        <w:rPr>
          <w:sz w:val="24"/>
          <w:szCs w:val="24"/>
        </w:rPr>
        <w:t xml:space="preserve">more than </w:t>
      </w:r>
      <w:r w:rsidR="00A72F8F">
        <w:rPr>
          <w:sz w:val="24"/>
          <w:szCs w:val="24"/>
        </w:rPr>
        <w:t>six</w:t>
      </w:r>
      <w:r w:rsidR="00DD1D4E">
        <w:rPr>
          <w:sz w:val="24"/>
          <w:szCs w:val="24"/>
        </w:rPr>
        <w:t xml:space="preserve"> times as large</w:t>
      </w:r>
      <w:r w:rsidR="006057F0">
        <w:rPr>
          <w:sz w:val="24"/>
          <w:szCs w:val="24"/>
        </w:rPr>
        <w:t xml:space="preserve"> as </w:t>
      </w:r>
      <w:r w:rsidR="006057F0">
        <w:rPr>
          <w:sz w:val="24"/>
          <w:szCs w:val="24"/>
        </w:rPr>
        <w:lastRenderedPageBreak/>
        <w:t>that in column 1</w:t>
      </w:r>
      <w:r w:rsidR="00B7726F">
        <w:rPr>
          <w:sz w:val="24"/>
          <w:szCs w:val="24"/>
        </w:rPr>
        <w:t xml:space="preserve">, </w:t>
      </w:r>
      <w:r w:rsidR="00DD1D4E">
        <w:rPr>
          <w:sz w:val="24"/>
          <w:szCs w:val="24"/>
        </w:rPr>
        <w:t>imply</w:t>
      </w:r>
      <w:r w:rsidR="006057F0">
        <w:rPr>
          <w:sz w:val="24"/>
          <w:szCs w:val="24"/>
        </w:rPr>
        <w:t>ing</w:t>
      </w:r>
      <w:r w:rsidR="00A72F8F">
        <w:rPr>
          <w:sz w:val="24"/>
          <w:szCs w:val="24"/>
        </w:rPr>
        <w:t xml:space="preserve"> an increase of 0.066</w:t>
      </w:r>
      <w:r w:rsidR="00DD1D4E">
        <w:rPr>
          <w:sz w:val="24"/>
          <w:szCs w:val="24"/>
        </w:rPr>
        <w:t xml:space="preserve"> in the mobility rate for a 0.10 increase in the equity ratio</w:t>
      </w:r>
      <w:r w:rsidR="00D83070">
        <w:rPr>
          <w:sz w:val="24"/>
          <w:szCs w:val="24"/>
        </w:rPr>
        <w:t xml:space="preserve">. </w:t>
      </w:r>
      <w:r w:rsidR="00A72F8F">
        <w:rPr>
          <w:sz w:val="24"/>
          <w:szCs w:val="24"/>
        </w:rPr>
        <w:t>T</w:t>
      </w:r>
      <w:r w:rsidR="00B7726F">
        <w:rPr>
          <w:sz w:val="24"/>
          <w:szCs w:val="24"/>
        </w:rPr>
        <w:t>he test of the</w:t>
      </w:r>
      <w:r w:rsidRPr="006E4198">
        <w:rPr>
          <w:sz w:val="24"/>
          <w:szCs w:val="24"/>
        </w:rPr>
        <w:t xml:space="preserve"> over-identifying restrictions </w:t>
      </w:r>
      <w:r w:rsidR="00A72F8F">
        <w:rPr>
          <w:sz w:val="24"/>
          <w:szCs w:val="24"/>
        </w:rPr>
        <w:t>cannot reject</w:t>
      </w:r>
      <w:r w:rsidRPr="006E4198">
        <w:rPr>
          <w:sz w:val="24"/>
          <w:szCs w:val="24"/>
        </w:rPr>
        <w:t xml:space="preserve"> the hypothesis tha</w:t>
      </w:r>
      <w:r w:rsidR="006E4198">
        <w:rPr>
          <w:sz w:val="24"/>
          <w:szCs w:val="24"/>
        </w:rPr>
        <w:t>t these are valid instruments (i.e. uncorrelated with the residual error term of the mobility equation</w:t>
      </w:r>
      <w:r w:rsidR="00D83070">
        <w:rPr>
          <w:sz w:val="24"/>
          <w:szCs w:val="24"/>
        </w:rPr>
        <w:t>)</w:t>
      </w:r>
      <w:r w:rsidR="00B7726F">
        <w:rPr>
          <w:sz w:val="24"/>
          <w:szCs w:val="24"/>
        </w:rPr>
        <w:t xml:space="preserve">. </w:t>
      </w:r>
      <w:r w:rsidR="00E62218">
        <w:rPr>
          <w:rStyle w:val="FootnoteReference"/>
          <w:sz w:val="24"/>
          <w:szCs w:val="24"/>
        </w:rPr>
        <w:footnoteReference w:id="16"/>
      </w:r>
      <w:r w:rsidR="00993600">
        <w:rPr>
          <w:sz w:val="24"/>
          <w:szCs w:val="24"/>
        </w:rPr>
        <w:t xml:space="preserve">  </w:t>
      </w:r>
    </w:p>
    <w:p w:rsidR="00993600" w:rsidRDefault="00993600" w:rsidP="00993600">
      <w:pPr>
        <w:spacing w:line="480" w:lineRule="auto"/>
        <w:ind w:firstLine="720"/>
        <w:rPr>
          <w:sz w:val="24"/>
          <w:szCs w:val="24"/>
        </w:rPr>
      </w:pPr>
      <w:r>
        <w:rPr>
          <w:sz w:val="24"/>
          <w:szCs w:val="24"/>
        </w:rPr>
        <w:t>Columns 3 and 4 of Table 4 repeat the exercise using the sample excluding non-movers and always-movers, which is similar to that in Table 2 (the sample is smaller than in Table 2 because of missing values on some instruments).  While apparently very large, the IV estimates suggest that the estimates in Table 2 are likely to understate the true impact of the equity ratio, as we would expect with classical measurement error.  Using a sample of male markers produces a pattern of estimation results similar to those in Table 4.</w:t>
      </w:r>
    </w:p>
    <w:p w:rsidR="00506139" w:rsidRPr="00E62218" w:rsidRDefault="00E62218" w:rsidP="00E62218">
      <w:pPr>
        <w:rPr>
          <w:sz w:val="24"/>
          <w:szCs w:val="24"/>
        </w:rPr>
      </w:pPr>
      <w:r>
        <w:rPr>
          <w:sz w:val="24"/>
          <w:szCs w:val="24"/>
        </w:rPr>
        <w:br w:type="page"/>
      </w:r>
      <w:r w:rsidR="003570F1">
        <w:rPr>
          <w:b/>
          <w:sz w:val="24"/>
          <w:szCs w:val="24"/>
        </w:rPr>
        <w:lastRenderedPageBreak/>
        <w:t>Table 4</w:t>
      </w:r>
      <w:r w:rsidR="00506139" w:rsidRPr="00DD1D4E">
        <w:rPr>
          <w:b/>
          <w:sz w:val="24"/>
          <w:szCs w:val="24"/>
        </w:rPr>
        <w:t>: Fixed effects Linea</w:t>
      </w:r>
      <w:r w:rsidR="00506139">
        <w:rPr>
          <w:b/>
          <w:sz w:val="24"/>
          <w:szCs w:val="24"/>
        </w:rPr>
        <w:t>r Probability Estimates of the I</w:t>
      </w:r>
      <w:r w:rsidR="00506139" w:rsidRPr="00DD1D4E">
        <w:rPr>
          <w:b/>
          <w:sz w:val="24"/>
          <w:szCs w:val="24"/>
        </w:rPr>
        <w:t xml:space="preserve">mpact </w:t>
      </w:r>
      <w:r w:rsidR="00506139">
        <w:rPr>
          <w:b/>
          <w:sz w:val="24"/>
          <w:szCs w:val="24"/>
        </w:rPr>
        <w:t xml:space="preserve">of the </w:t>
      </w:r>
      <w:r w:rsidR="00506139" w:rsidRPr="00DD1D4E">
        <w:rPr>
          <w:b/>
          <w:sz w:val="24"/>
          <w:szCs w:val="24"/>
        </w:rPr>
        <w:t>Equity Ratio (q) in previous year on the probability of residential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24"/>
        <w:gridCol w:w="1524"/>
        <w:gridCol w:w="1524"/>
        <w:gridCol w:w="1524"/>
      </w:tblGrid>
      <w:tr w:rsidR="00506139" w:rsidRPr="00847926">
        <w:tc>
          <w:tcPr>
            <w:tcW w:w="1809" w:type="dxa"/>
          </w:tcPr>
          <w:p w:rsidR="00506139" w:rsidRPr="00FC0819" w:rsidRDefault="00506139" w:rsidP="00811F5D">
            <w:pPr>
              <w:rPr>
                <w:sz w:val="24"/>
                <w:szCs w:val="24"/>
              </w:rPr>
            </w:pPr>
          </w:p>
        </w:tc>
        <w:tc>
          <w:tcPr>
            <w:tcW w:w="1524" w:type="dxa"/>
          </w:tcPr>
          <w:p w:rsidR="00506139" w:rsidRDefault="00506139" w:rsidP="00811F5D">
            <w:pPr>
              <w:jc w:val="center"/>
              <w:rPr>
                <w:b/>
                <w:sz w:val="24"/>
                <w:szCs w:val="24"/>
              </w:rPr>
            </w:pPr>
            <w:r>
              <w:rPr>
                <w:b/>
                <w:sz w:val="24"/>
                <w:szCs w:val="24"/>
              </w:rPr>
              <w:t>FE</w:t>
            </w:r>
          </w:p>
          <w:p w:rsidR="00506139" w:rsidRPr="00BB5F7A" w:rsidRDefault="00506139" w:rsidP="00811F5D">
            <w:pPr>
              <w:jc w:val="center"/>
              <w:rPr>
                <w:b/>
                <w:sz w:val="24"/>
                <w:szCs w:val="24"/>
                <w:vertAlign w:val="superscript"/>
              </w:rPr>
            </w:pPr>
            <w:r>
              <w:rPr>
                <w:b/>
                <w:sz w:val="24"/>
                <w:szCs w:val="24"/>
              </w:rPr>
              <w:t xml:space="preserve">Full </w:t>
            </w:r>
            <w:proofErr w:type="spellStart"/>
            <w:r>
              <w:rPr>
                <w:b/>
                <w:sz w:val="24"/>
                <w:szCs w:val="24"/>
              </w:rPr>
              <w:t>Samp.</w:t>
            </w:r>
            <w:r w:rsidR="00BB5F7A">
              <w:rPr>
                <w:b/>
                <w:sz w:val="24"/>
                <w:szCs w:val="24"/>
                <w:vertAlign w:val="superscript"/>
              </w:rPr>
              <w:t>a</w:t>
            </w:r>
            <w:proofErr w:type="spellEnd"/>
          </w:p>
        </w:tc>
        <w:tc>
          <w:tcPr>
            <w:tcW w:w="1524" w:type="dxa"/>
          </w:tcPr>
          <w:p w:rsidR="00506139" w:rsidRPr="00BB5F7A" w:rsidRDefault="00506139" w:rsidP="00811F5D">
            <w:pPr>
              <w:jc w:val="center"/>
              <w:rPr>
                <w:b/>
                <w:sz w:val="24"/>
                <w:szCs w:val="24"/>
                <w:vertAlign w:val="superscript"/>
              </w:rPr>
            </w:pPr>
            <w:r>
              <w:rPr>
                <w:b/>
                <w:sz w:val="24"/>
                <w:szCs w:val="24"/>
              </w:rPr>
              <w:t>FE-</w:t>
            </w:r>
            <w:proofErr w:type="spellStart"/>
            <w:r>
              <w:rPr>
                <w:b/>
                <w:sz w:val="24"/>
                <w:szCs w:val="24"/>
              </w:rPr>
              <w:t>IV</w:t>
            </w:r>
            <w:r w:rsidR="00BB5F7A">
              <w:rPr>
                <w:b/>
                <w:sz w:val="24"/>
                <w:szCs w:val="24"/>
                <w:vertAlign w:val="superscript"/>
              </w:rPr>
              <w:t>b</w:t>
            </w:r>
            <w:proofErr w:type="spellEnd"/>
          </w:p>
          <w:p w:rsidR="00506139" w:rsidRPr="005A7EF3" w:rsidRDefault="00C46D68" w:rsidP="00811F5D">
            <w:pPr>
              <w:jc w:val="center"/>
              <w:rPr>
                <w:b/>
                <w:sz w:val="24"/>
                <w:szCs w:val="24"/>
              </w:rPr>
            </w:pPr>
            <w:r>
              <w:rPr>
                <w:b/>
                <w:sz w:val="24"/>
                <w:szCs w:val="24"/>
              </w:rPr>
              <w:t xml:space="preserve">Full </w:t>
            </w:r>
            <w:proofErr w:type="spellStart"/>
            <w:r>
              <w:rPr>
                <w:b/>
                <w:sz w:val="24"/>
                <w:szCs w:val="24"/>
              </w:rPr>
              <w:t>S</w:t>
            </w:r>
            <w:r w:rsidR="00506139">
              <w:rPr>
                <w:b/>
                <w:sz w:val="24"/>
                <w:szCs w:val="24"/>
              </w:rPr>
              <w:t>amp</w:t>
            </w:r>
            <w:proofErr w:type="spellEnd"/>
            <w:r w:rsidR="00506139">
              <w:rPr>
                <w:b/>
                <w:sz w:val="24"/>
                <w:szCs w:val="24"/>
              </w:rPr>
              <w:t>.</w:t>
            </w:r>
            <w:r w:rsidR="00BB5F7A">
              <w:rPr>
                <w:b/>
                <w:sz w:val="24"/>
                <w:szCs w:val="24"/>
                <w:vertAlign w:val="superscript"/>
              </w:rPr>
              <w:t xml:space="preserve"> a</w:t>
            </w:r>
          </w:p>
        </w:tc>
        <w:tc>
          <w:tcPr>
            <w:tcW w:w="1524" w:type="dxa"/>
          </w:tcPr>
          <w:p w:rsidR="00506139" w:rsidRDefault="00506139" w:rsidP="00811F5D">
            <w:pPr>
              <w:jc w:val="center"/>
              <w:rPr>
                <w:b/>
                <w:sz w:val="24"/>
                <w:szCs w:val="24"/>
              </w:rPr>
            </w:pPr>
            <w:r>
              <w:rPr>
                <w:b/>
                <w:sz w:val="24"/>
                <w:szCs w:val="24"/>
              </w:rPr>
              <w:t>FE</w:t>
            </w:r>
          </w:p>
          <w:p w:rsidR="00506139" w:rsidRPr="00BB5F7A" w:rsidRDefault="00506139" w:rsidP="00811F5D">
            <w:pPr>
              <w:jc w:val="center"/>
              <w:rPr>
                <w:b/>
                <w:sz w:val="24"/>
                <w:szCs w:val="24"/>
                <w:vertAlign w:val="superscript"/>
              </w:rPr>
            </w:pPr>
            <w:r>
              <w:rPr>
                <w:b/>
                <w:sz w:val="24"/>
                <w:szCs w:val="24"/>
              </w:rPr>
              <w:t xml:space="preserve">Tb.2 </w:t>
            </w:r>
            <w:proofErr w:type="spellStart"/>
            <w:r>
              <w:rPr>
                <w:b/>
                <w:sz w:val="24"/>
                <w:szCs w:val="24"/>
              </w:rPr>
              <w:t>Samp.</w:t>
            </w:r>
            <w:r w:rsidR="00BB5F7A">
              <w:rPr>
                <w:b/>
                <w:sz w:val="24"/>
                <w:szCs w:val="24"/>
                <w:vertAlign w:val="superscript"/>
              </w:rPr>
              <w:t>c</w:t>
            </w:r>
            <w:proofErr w:type="spellEnd"/>
          </w:p>
        </w:tc>
        <w:tc>
          <w:tcPr>
            <w:tcW w:w="1524" w:type="dxa"/>
          </w:tcPr>
          <w:p w:rsidR="00506139" w:rsidRPr="00847926" w:rsidRDefault="00506139" w:rsidP="00811F5D">
            <w:pPr>
              <w:jc w:val="center"/>
              <w:rPr>
                <w:b/>
                <w:sz w:val="24"/>
                <w:szCs w:val="24"/>
                <w:lang w:val="da-DK"/>
              </w:rPr>
            </w:pPr>
            <w:r w:rsidRPr="00847926">
              <w:rPr>
                <w:b/>
                <w:sz w:val="24"/>
                <w:szCs w:val="24"/>
                <w:lang w:val="da-DK"/>
              </w:rPr>
              <w:t>FE-IV</w:t>
            </w:r>
            <w:r w:rsidR="00BB5F7A" w:rsidRPr="00847926">
              <w:rPr>
                <w:b/>
                <w:sz w:val="24"/>
                <w:szCs w:val="24"/>
                <w:vertAlign w:val="superscript"/>
                <w:lang w:val="da-DK"/>
              </w:rPr>
              <w:t>b</w:t>
            </w:r>
          </w:p>
          <w:p w:rsidR="00506139" w:rsidRPr="00847926" w:rsidRDefault="00506139" w:rsidP="00811F5D">
            <w:pPr>
              <w:jc w:val="center"/>
              <w:rPr>
                <w:b/>
                <w:sz w:val="24"/>
                <w:szCs w:val="24"/>
                <w:vertAlign w:val="superscript"/>
                <w:lang w:val="da-DK"/>
              </w:rPr>
            </w:pPr>
            <w:r w:rsidRPr="00847926">
              <w:rPr>
                <w:b/>
                <w:sz w:val="24"/>
                <w:szCs w:val="24"/>
                <w:lang w:val="da-DK"/>
              </w:rPr>
              <w:t>Tb.2 Samp.</w:t>
            </w:r>
            <w:r w:rsidR="00BB5F7A" w:rsidRPr="00847926">
              <w:rPr>
                <w:b/>
                <w:sz w:val="24"/>
                <w:szCs w:val="24"/>
                <w:vertAlign w:val="superscript"/>
                <w:lang w:val="da-DK"/>
              </w:rPr>
              <w:t>c</w:t>
            </w:r>
          </w:p>
        </w:tc>
      </w:tr>
      <w:tr w:rsidR="00506139" w:rsidRPr="00FC0819">
        <w:tc>
          <w:tcPr>
            <w:tcW w:w="1809" w:type="dxa"/>
          </w:tcPr>
          <w:p w:rsidR="00506139" w:rsidRPr="000B1089" w:rsidRDefault="00506139" w:rsidP="00811F5D">
            <w:pPr>
              <w:rPr>
                <w:b/>
                <w:sz w:val="24"/>
                <w:szCs w:val="24"/>
              </w:rPr>
            </w:pPr>
            <w:r>
              <w:rPr>
                <w:b/>
                <w:sz w:val="24"/>
                <w:szCs w:val="24"/>
              </w:rPr>
              <w:t>q (linear)</w:t>
            </w:r>
          </w:p>
        </w:tc>
        <w:tc>
          <w:tcPr>
            <w:tcW w:w="1524" w:type="dxa"/>
          </w:tcPr>
          <w:p w:rsidR="00506139" w:rsidRDefault="00574843" w:rsidP="00811F5D">
            <w:pPr>
              <w:jc w:val="center"/>
              <w:rPr>
                <w:sz w:val="24"/>
                <w:szCs w:val="24"/>
              </w:rPr>
            </w:pPr>
            <w:r>
              <w:rPr>
                <w:sz w:val="24"/>
                <w:szCs w:val="24"/>
              </w:rPr>
              <w:t>0.09</w:t>
            </w:r>
            <w:r w:rsidR="00721A0A">
              <w:rPr>
                <w:sz w:val="24"/>
                <w:szCs w:val="24"/>
              </w:rPr>
              <w:t>4</w:t>
            </w:r>
          </w:p>
          <w:p w:rsidR="00506139" w:rsidRDefault="00721A0A" w:rsidP="00811F5D">
            <w:pPr>
              <w:jc w:val="center"/>
              <w:rPr>
                <w:sz w:val="24"/>
                <w:szCs w:val="24"/>
              </w:rPr>
            </w:pPr>
            <w:r>
              <w:rPr>
                <w:sz w:val="24"/>
                <w:szCs w:val="24"/>
              </w:rPr>
              <w:t>(0.032</w:t>
            </w:r>
            <w:r w:rsidR="00506139">
              <w:rPr>
                <w:sz w:val="24"/>
                <w:szCs w:val="24"/>
              </w:rPr>
              <w:t>)</w:t>
            </w:r>
          </w:p>
        </w:tc>
        <w:tc>
          <w:tcPr>
            <w:tcW w:w="1524" w:type="dxa"/>
          </w:tcPr>
          <w:p w:rsidR="00506139" w:rsidRDefault="00611134" w:rsidP="00811F5D">
            <w:pPr>
              <w:jc w:val="center"/>
              <w:rPr>
                <w:sz w:val="24"/>
                <w:szCs w:val="24"/>
              </w:rPr>
            </w:pPr>
            <w:r>
              <w:rPr>
                <w:sz w:val="24"/>
                <w:szCs w:val="24"/>
              </w:rPr>
              <w:t>0.628</w:t>
            </w:r>
          </w:p>
          <w:p w:rsidR="00506139" w:rsidRDefault="00A72F8F" w:rsidP="00611134">
            <w:pPr>
              <w:jc w:val="center"/>
              <w:rPr>
                <w:sz w:val="24"/>
                <w:szCs w:val="24"/>
              </w:rPr>
            </w:pPr>
            <w:r>
              <w:rPr>
                <w:sz w:val="24"/>
                <w:szCs w:val="24"/>
              </w:rPr>
              <w:t>(0.</w:t>
            </w:r>
            <w:r w:rsidR="00611134">
              <w:rPr>
                <w:sz w:val="24"/>
                <w:szCs w:val="24"/>
              </w:rPr>
              <w:t>177)</w:t>
            </w:r>
          </w:p>
        </w:tc>
        <w:tc>
          <w:tcPr>
            <w:tcW w:w="1524" w:type="dxa"/>
          </w:tcPr>
          <w:p w:rsidR="00506139" w:rsidRPr="00AA5019" w:rsidRDefault="00721A0A" w:rsidP="00811F5D">
            <w:pPr>
              <w:jc w:val="center"/>
              <w:rPr>
                <w:sz w:val="24"/>
                <w:szCs w:val="24"/>
              </w:rPr>
            </w:pPr>
            <w:r>
              <w:rPr>
                <w:sz w:val="24"/>
                <w:szCs w:val="24"/>
              </w:rPr>
              <w:t>0.147</w:t>
            </w:r>
          </w:p>
          <w:p w:rsidR="00506139" w:rsidRPr="00AA5019" w:rsidRDefault="00721A0A" w:rsidP="00811F5D">
            <w:pPr>
              <w:jc w:val="center"/>
              <w:rPr>
                <w:sz w:val="24"/>
                <w:szCs w:val="24"/>
              </w:rPr>
            </w:pPr>
            <w:r>
              <w:rPr>
                <w:sz w:val="24"/>
                <w:szCs w:val="24"/>
              </w:rPr>
              <w:t>(0.059</w:t>
            </w:r>
            <w:r w:rsidR="00506139" w:rsidRPr="00AA5019">
              <w:rPr>
                <w:sz w:val="24"/>
                <w:szCs w:val="24"/>
              </w:rPr>
              <w:t>)</w:t>
            </w:r>
          </w:p>
        </w:tc>
        <w:tc>
          <w:tcPr>
            <w:tcW w:w="1524" w:type="dxa"/>
          </w:tcPr>
          <w:p w:rsidR="00506139" w:rsidRPr="00AA5019" w:rsidRDefault="00611134" w:rsidP="00811F5D">
            <w:pPr>
              <w:jc w:val="center"/>
              <w:rPr>
                <w:sz w:val="24"/>
                <w:szCs w:val="24"/>
              </w:rPr>
            </w:pPr>
            <w:r>
              <w:rPr>
                <w:sz w:val="24"/>
                <w:szCs w:val="24"/>
              </w:rPr>
              <w:t>0.735</w:t>
            </w:r>
          </w:p>
          <w:p w:rsidR="00506139" w:rsidRPr="00AA5019" w:rsidRDefault="00611134" w:rsidP="00811F5D">
            <w:pPr>
              <w:jc w:val="center"/>
              <w:rPr>
                <w:sz w:val="24"/>
                <w:szCs w:val="24"/>
              </w:rPr>
            </w:pPr>
            <w:r>
              <w:rPr>
                <w:sz w:val="24"/>
                <w:szCs w:val="24"/>
              </w:rPr>
              <w:t>(0.200</w:t>
            </w:r>
            <w:r w:rsidR="00506139" w:rsidRPr="00AA5019">
              <w:rPr>
                <w:sz w:val="24"/>
                <w:szCs w:val="24"/>
              </w:rPr>
              <w:t>)</w:t>
            </w:r>
          </w:p>
        </w:tc>
      </w:tr>
      <w:tr w:rsidR="00506139" w:rsidRPr="00FC0819">
        <w:tc>
          <w:tcPr>
            <w:tcW w:w="1809" w:type="dxa"/>
          </w:tcPr>
          <w:p w:rsidR="00506139" w:rsidRDefault="00506139" w:rsidP="00811F5D">
            <w:pPr>
              <w:rPr>
                <w:b/>
                <w:sz w:val="24"/>
                <w:szCs w:val="24"/>
              </w:rPr>
            </w:pPr>
            <w:r>
              <w:rPr>
                <w:b/>
                <w:sz w:val="24"/>
                <w:szCs w:val="24"/>
              </w:rPr>
              <w:t>Log(real LA house price</w:t>
            </w:r>
            <w:r>
              <w:rPr>
                <w:b/>
                <w:sz w:val="24"/>
                <w:szCs w:val="24"/>
                <w:vertAlign w:val="subscript"/>
              </w:rPr>
              <w:t>t-1</w:t>
            </w:r>
            <w:r>
              <w:rPr>
                <w:b/>
                <w:sz w:val="24"/>
                <w:szCs w:val="24"/>
              </w:rPr>
              <w:t>)</w:t>
            </w:r>
          </w:p>
        </w:tc>
        <w:tc>
          <w:tcPr>
            <w:tcW w:w="1524" w:type="dxa"/>
          </w:tcPr>
          <w:p w:rsidR="00506139" w:rsidRDefault="00721A0A" w:rsidP="00811F5D">
            <w:pPr>
              <w:jc w:val="center"/>
              <w:rPr>
                <w:sz w:val="24"/>
                <w:szCs w:val="24"/>
              </w:rPr>
            </w:pPr>
            <w:r>
              <w:rPr>
                <w:sz w:val="24"/>
                <w:szCs w:val="24"/>
              </w:rPr>
              <w:t>-0.079</w:t>
            </w:r>
          </w:p>
          <w:p w:rsidR="00506139" w:rsidRDefault="00721A0A" w:rsidP="00811F5D">
            <w:pPr>
              <w:jc w:val="center"/>
              <w:rPr>
                <w:sz w:val="24"/>
                <w:szCs w:val="24"/>
              </w:rPr>
            </w:pPr>
            <w:r>
              <w:rPr>
                <w:sz w:val="24"/>
                <w:szCs w:val="24"/>
              </w:rPr>
              <w:t>(0.028</w:t>
            </w:r>
            <w:r w:rsidR="00506139">
              <w:rPr>
                <w:sz w:val="24"/>
                <w:szCs w:val="24"/>
              </w:rPr>
              <w:t>)</w:t>
            </w:r>
          </w:p>
        </w:tc>
        <w:tc>
          <w:tcPr>
            <w:tcW w:w="1524" w:type="dxa"/>
          </w:tcPr>
          <w:p w:rsidR="00506139" w:rsidRDefault="00A72F8F" w:rsidP="00811F5D">
            <w:pPr>
              <w:jc w:val="center"/>
              <w:rPr>
                <w:sz w:val="24"/>
                <w:szCs w:val="24"/>
              </w:rPr>
            </w:pPr>
            <w:r>
              <w:rPr>
                <w:sz w:val="24"/>
                <w:szCs w:val="24"/>
              </w:rPr>
              <w:t>-0.22</w:t>
            </w:r>
            <w:r w:rsidR="00611134">
              <w:rPr>
                <w:sz w:val="24"/>
                <w:szCs w:val="24"/>
              </w:rPr>
              <w:t>7</w:t>
            </w:r>
          </w:p>
          <w:p w:rsidR="00506139" w:rsidRDefault="00A72F8F" w:rsidP="00811F5D">
            <w:pPr>
              <w:jc w:val="center"/>
              <w:rPr>
                <w:sz w:val="24"/>
                <w:szCs w:val="24"/>
              </w:rPr>
            </w:pPr>
            <w:r>
              <w:rPr>
                <w:sz w:val="24"/>
                <w:szCs w:val="24"/>
              </w:rPr>
              <w:t>(0.06</w:t>
            </w:r>
            <w:r w:rsidR="00611134">
              <w:rPr>
                <w:sz w:val="24"/>
                <w:szCs w:val="24"/>
              </w:rPr>
              <w:t>0</w:t>
            </w:r>
            <w:r w:rsidR="00506139">
              <w:rPr>
                <w:sz w:val="24"/>
                <w:szCs w:val="24"/>
              </w:rPr>
              <w:t>)</w:t>
            </w:r>
          </w:p>
        </w:tc>
        <w:tc>
          <w:tcPr>
            <w:tcW w:w="1524" w:type="dxa"/>
          </w:tcPr>
          <w:p w:rsidR="00506139" w:rsidRPr="00AA5019" w:rsidRDefault="00721A0A" w:rsidP="00811F5D">
            <w:pPr>
              <w:jc w:val="center"/>
              <w:rPr>
                <w:sz w:val="24"/>
                <w:szCs w:val="24"/>
              </w:rPr>
            </w:pPr>
            <w:r>
              <w:rPr>
                <w:sz w:val="24"/>
                <w:szCs w:val="24"/>
              </w:rPr>
              <w:t>-0.131</w:t>
            </w:r>
          </w:p>
          <w:p w:rsidR="00506139" w:rsidRPr="00AA5019" w:rsidRDefault="00721A0A" w:rsidP="00811F5D">
            <w:pPr>
              <w:jc w:val="center"/>
              <w:rPr>
                <w:sz w:val="24"/>
                <w:szCs w:val="24"/>
              </w:rPr>
            </w:pPr>
            <w:r>
              <w:rPr>
                <w:sz w:val="24"/>
                <w:szCs w:val="24"/>
              </w:rPr>
              <w:t>(0.052</w:t>
            </w:r>
            <w:r w:rsidR="00506139" w:rsidRPr="00AA5019">
              <w:rPr>
                <w:sz w:val="24"/>
                <w:szCs w:val="24"/>
              </w:rPr>
              <w:t>)</w:t>
            </w:r>
          </w:p>
        </w:tc>
        <w:tc>
          <w:tcPr>
            <w:tcW w:w="1524" w:type="dxa"/>
          </w:tcPr>
          <w:p w:rsidR="00506139" w:rsidRPr="00AA5019" w:rsidRDefault="00C25242" w:rsidP="00811F5D">
            <w:pPr>
              <w:jc w:val="center"/>
              <w:rPr>
                <w:sz w:val="24"/>
                <w:szCs w:val="24"/>
              </w:rPr>
            </w:pPr>
            <w:r w:rsidRPr="00AA5019">
              <w:rPr>
                <w:sz w:val="24"/>
                <w:szCs w:val="24"/>
              </w:rPr>
              <w:t>-0.2</w:t>
            </w:r>
            <w:r w:rsidR="00611134">
              <w:rPr>
                <w:sz w:val="24"/>
                <w:szCs w:val="24"/>
              </w:rPr>
              <w:t>49</w:t>
            </w:r>
          </w:p>
          <w:p w:rsidR="00506139" w:rsidRPr="00AA5019" w:rsidRDefault="00611134" w:rsidP="00811F5D">
            <w:pPr>
              <w:jc w:val="center"/>
              <w:rPr>
                <w:sz w:val="24"/>
                <w:szCs w:val="24"/>
              </w:rPr>
            </w:pPr>
            <w:r>
              <w:rPr>
                <w:sz w:val="24"/>
                <w:szCs w:val="24"/>
              </w:rPr>
              <w:t>(0.069</w:t>
            </w:r>
            <w:r w:rsidR="00506139" w:rsidRPr="00AA5019">
              <w:rPr>
                <w:sz w:val="24"/>
                <w:szCs w:val="24"/>
              </w:rPr>
              <w:t>)</w:t>
            </w:r>
          </w:p>
        </w:tc>
      </w:tr>
    </w:tbl>
    <w:p w:rsidR="00BB5F7A" w:rsidRPr="00BB5F7A" w:rsidRDefault="009D2E2E" w:rsidP="00506139">
      <w:pPr>
        <w:rPr>
          <w:sz w:val="24"/>
          <w:szCs w:val="24"/>
        </w:rPr>
      </w:pPr>
      <w:r>
        <w:rPr>
          <w:sz w:val="24"/>
          <w:szCs w:val="24"/>
        </w:rPr>
        <w:t>*Robust s</w:t>
      </w:r>
      <w:r w:rsidR="00BB5F7A">
        <w:rPr>
          <w:sz w:val="24"/>
          <w:szCs w:val="24"/>
        </w:rPr>
        <w:t xml:space="preserve">tandard errors are in parentheses.  For other covariates, see Table 2.  </w:t>
      </w:r>
    </w:p>
    <w:p w:rsidR="00D632DB" w:rsidRDefault="00BB5F7A" w:rsidP="00506139">
      <w:pPr>
        <w:rPr>
          <w:sz w:val="24"/>
          <w:szCs w:val="24"/>
        </w:rPr>
      </w:pPr>
      <w:proofErr w:type="spellStart"/>
      <w:proofErr w:type="gramStart"/>
      <w:r>
        <w:rPr>
          <w:sz w:val="24"/>
          <w:szCs w:val="24"/>
          <w:vertAlign w:val="superscript"/>
        </w:rPr>
        <w:t>a</w:t>
      </w:r>
      <w:r w:rsidR="00506139">
        <w:rPr>
          <w:sz w:val="24"/>
          <w:szCs w:val="24"/>
        </w:rPr>
        <w:t>Full</w:t>
      </w:r>
      <w:proofErr w:type="spellEnd"/>
      <w:proofErr w:type="gramEnd"/>
      <w:r w:rsidR="00506139">
        <w:rPr>
          <w:sz w:val="24"/>
          <w:szCs w:val="24"/>
        </w:rPr>
        <w:t xml:space="preserve"> sample: n</w:t>
      </w:r>
      <w:r w:rsidR="00A72F8F">
        <w:rPr>
          <w:sz w:val="24"/>
          <w:szCs w:val="24"/>
        </w:rPr>
        <w:t>umber of women=</w:t>
      </w:r>
      <w:r w:rsidR="00721A0A">
        <w:rPr>
          <w:sz w:val="24"/>
          <w:szCs w:val="24"/>
        </w:rPr>
        <w:t>122</w:t>
      </w:r>
      <w:r w:rsidR="00611134">
        <w:rPr>
          <w:sz w:val="24"/>
          <w:szCs w:val="24"/>
        </w:rPr>
        <w:t>9; number of woman years=6</w:t>
      </w:r>
      <w:r w:rsidR="00721A0A">
        <w:rPr>
          <w:sz w:val="24"/>
          <w:szCs w:val="24"/>
        </w:rPr>
        <w:t>553</w:t>
      </w:r>
      <w:r w:rsidR="00506139">
        <w:rPr>
          <w:sz w:val="24"/>
          <w:szCs w:val="24"/>
        </w:rPr>
        <w:t>.</w:t>
      </w:r>
      <w:r w:rsidR="00506139" w:rsidRPr="00E36467">
        <w:rPr>
          <w:sz w:val="24"/>
          <w:szCs w:val="24"/>
        </w:rPr>
        <w:t xml:space="preserve"> </w:t>
      </w:r>
    </w:p>
    <w:p w:rsidR="00CC69D1" w:rsidRDefault="00BB5F7A" w:rsidP="00506139">
      <w:pPr>
        <w:rPr>
          <w:sz w:val="24"/>
          <w:szCs w:val="24"/>
        </w:rPr>
      </w:pPr>
      <w:proofErr w:type="spellStart"/>
      <w:proofErr w:type="gramStart"/>
      <w:r>
        <w:rPr>
          <w:b/>
          <w:sz w:val="24"/>
          <w:szCs w:val="24"/>
          <w:vertAlign w:val="superscript"/>
        </w:rPr>
        <w:t>b</w:t>
      </w:r>
      <w:r w:rsidR="00506139">
        <w:rPr>
          <w:sz w:val="24"/>
          <w:szCs w:val="24"/>
        </w:rPr>
        <w:t>Excluded</w:t>
      </w:r>
      <w:proofErr w:type="spellEnd"/>
      <w:proofErr w:type="gramEnd"/>
      <w:r w:rsidR="00506139">
        <w:rPr>
          <w:sz w:val="24"/>
          <w:szCs w:val="24"/>
        </w:rPr>
        <w:t xml:space="preserve"> instruments are the </w:t>
      </w:r>
      <w:r w:rsidR="00A72F8F">
        <w:rPr>
          <w:sz w:val="24"/>
          <w:szCs w:val="24"/>
        </w:rPr>
        <w:t>sales volume</w:t>
      </w:r>
      <w:r w:rsidR="00506139">
        <w:rPr>
          <w:sz w:val="24"/>
          <w:szCs w:val="24"/>
        </w:rPr>
        <w:t xml:space="preserve"> in the household’s local auth</w:t>
      </w:r>
      <w:r w:rsidR="00D632DB">
        <w:rPr>
          <w:sz w:val="24"/>
          <w:szCs w:val="24"/>
        </w:rPr>
        <w:t>ority</w:t>
      </w:r>
      <w:r w:rsidR="00E43373">
        <w:rPr>
          <w:sz w:val="24"/>
          <w:szCs w:val="24"/>
        </w:rPr>
        <w:t xml:space="preserve"> and </w:t>
      </w:r>
      <w:r w:rsidR="00D632DB">
        <w:rPr>
          <w:sz w:val="24"/>
          <w:szCs w:val="24"/>
        </w:rPr>
        <w:t>original mortgage value</w:t>
      </w:r>
      <w:r w:rsidR="00A72F8F">
        <w:rPr>
          <w:sz w:val="24"/>
          <w:szCs w:val="24"/>
        </w:rPr>
        <w:t xml:space="preserve"> in the previous year</w:t>
      </w:r>
      <w:r w:rsidR="00CC69D1">
        <w:rPr>
          <w:sz w:val="24"/>
          <w:szCs w:val="24"/>
        </w:rPr>
        <w:t>.</w:t>
      </w:r>
      <w:r>
        <w:rPr>
          <w:sz w:val="24"/>
          <w:szCs w:val="24"/>
        </w:rPr>
        <w:t xml:space="preserve"> </w:t>
      </w:r>
      <w:proofErr w:type="gramStart"/>
      <w:r>
        <w:rPr>
          <w:sz w:val="24"/>
          <w:szCs w:val="24"/>
        </w:rPr>
        <w:t>GMM estima</w:t>
      </w:r>
      <w:r w:rsidR="000D5E28">
        <w:rPr>
          <w:sz w:val="24"/>
          <w:szCs w:val="24"/>
        </w:rPr>
        <w:t>tion</w:t>
      </w:r>
      <w:r>
        <w:rPr>
          <w:sz w:val="24"/>
          <w:szCs w:val="24"/>
        </w:rPr>
        <w:t>.</w:t>
      </w:r>
      <w:proofErr w:type="gramEnd"/>
    </w:p>
    <w:p w:rsidR="00506139" w:rsidRPr="00FC0819" w:rsidRDefault="00EA2DDA" w:rsidP="00506139">
      <w:pPr>
        <w:rPr>
          <w:sz w:val="24"/>
          <w:szCs w:val="24"/>
        </w:rPr>
      </w:pPr>
      <w:r>
        <w:rPr>
          <w:sz w:val="24"/>
          <w:szCs w:val="24"/>
        </w:rPr>
        <w:t xml:space="preserve">Under-identification </w:t>
      </w:r>
      <w:r w:rsidR="00E950FD">
        <w:rPr>
          <w:sz w:val="24"/>
          <w:szCs w:val="24"/>
        </w:rPr>
        <w:t xml:space="preserve">(rank) </w:t>
      </w:r>
      <w:r>
        <w:rPr>
          <w:sz w:val="24"/>
          <w:szCs w:val="24"/>
        </w:rPr>
        <w:t xml:space="preserve">test: </w:t>
      </w:r>
      <w:proofErr w:type="spellStart"/>
      <w:r w:rsidRPr="00EA2DDA">
        <w:rPr>
          <w:sz w:val="24"/>
          <w:szCs w:val="24"/>
        </w:rPr>
        <w:t>Kleibergen-Paap</w:t>
      </w:r>
      <w:proofErr w:type="spellEnd"/>
      <w:r w:rsidRPr="00EA2DDA">
        <w:rPr>
          <w:sz w:val="24"/>
          <w:szCs w:val="24"/>
        </w:rPr>
        <w:t xml:space="preserve"> </w:t>
      </w:r>
      <w:proofErr w:type="spellStart"/>
      <w:r w:rsidRPr="00EA2DDA">
        <w:rPr>
          <w:sz w:val="24"/>
          <w:szCs w:val="24"/>
        </w:rPr>
        <w:t>rk</w:t>
      </w:r>
      <w:proofErr w:type="spellEnd"/>
      <w:r w:rsidRPr="00EA2DDA">
        <w:rPr>
          <w:sz w:val="24"/>
          <w:szCs w:val="24"/>
        </w:rPr>
        <w:t xml:space="preserve"> LM statistic</w:t>
      </w:r>
      <w:r>
        <w:rPr>
          <w:sz w:val="24"/>
          <w:szCs w:val="24"/>
        </w:rPr>
        <w:t xml:space="preserve"> (chi-square 2</w:t>
      </w:r>
      <w:r w:rsidR="00506139">
        <w:rPr>
          <w:sz w:val="24"/>
          <w:szCs w:val="24"/>
        </w:rPr>
        <w:t xml:space="preserve"> </w:t>
      </w:r>
      <w:proofErr w:type="spellStart"/>
      <w:proofErr w:type="gramStart"/>
      <w:r w:rsidR="00506139">
        <w:rPr>
          <w:sz w:val="24"/>
          <w:szCs w:val="24"/>
        </w:rPr>
        <w:t>d.f</w:t>
      </w:r>
      <w:proofErr w:type="spellEnd"/>
      <w:proofErr w:type="gramEnd"/>
      <w:r w:rsidR="00506139">
        <w:rPr>
          <w:sz w:val="24"/>
          <w:szCs w:val="24"/>
        </w:rPr>
        <w:t xml:space="preserve">.) </w:t>
      </w:r>
      <w:r w:rsidR="00574843">
        <w:rPr>
          <w:sz w:val="24"/>
          <w:szCs w:val="24"/>
        </w:rPr>
        <w:t>=</w:t>
      </w:r>
      <w:r w:rsidR="00611134">
        <w:rPr>
          <w:sz w:val="24"/>
          <w:szCs w:val="24"/>
        </w:rPr>
        <w:t xml:space="preserve"> 138.62</w:t>
      </w:r>
      <w:r w:rsidR="00A72F8F">
        <w:rPr>
          <w:sz w:val="24"/>
          <w:szCs w:val="24"/>
        </w:rPr>
        <w:t xml:space="preserve"> </w:t>
      </w:r>
      <w:r w:rsidR="00506139">
        <w:rPr>
          <w:sz w:val="24"/>
          <w:szCs w:val="24"/>
        </w:rPr>
        <w:t xml:space="preserve">(p=0.0000).  </w:t>
      </w:r>
    </w:p>
    <w:p w:rsidR="00574843" w:rsidRDefault="00574843" w:rsidP="00574843">
      <w:pPr>
        <w:rPr>
          <w:sz w:val="24"/>
          <w:szCs w:val="24"/>
        </w:rPr>
      </w:pPr>
      <w:r w:rsidRPr="00574843">
        <w:rPr>
          <w:sz w:val="24"/>
          <w:szCs w:val="24"/>
        </w:rPr>
        <w:t>Over</w:t>
      </w:r>
      <w:r>
        <w:rPr>
          <w:sz w:val="24"/>
          <w:szCs w:val="24"/>
        </w:rPr>
        <w:t>-</w:t>
      </w:r>
      <w:r w:rsidRPr="00574843">
        <w:rPr>
          <w:sz w:val="24"/>
          <w:szCs w:val="24"/>
        </w:rPr>
        <w:t xml:space="preserve">identification test of all instruments: Hansen J statistic (chi-square </w:t>
      </w:r>
      <w:r w:rsidR="00547F9E">
        <w:rPr>
          <w:sz w:val="24"/>
          <w:szCs w:val="24"/>
        </w:rPr>
        <w:t>1</w:t>
      </w:r>
      <w:r w:rsidR="00611134">
        <w:rPr>
          <w:sz w:val="24"/>
          <w:szCs w:val="24"/>
        </w:rPr>
        <w:t xml:space="preserve"> </w:t>
      </w:r>
      <w:proofErr w:type="spellStart"/>
      <w:proofErr w:type="gramStart"/>
      <w:r w:rsidR="00611134">
        <w:rPr>
          <w:sz w:val="24"/>
          <w:szCs w:val="24"/>
        </w:rPr>
        <w:t>d.f</w:t>
      </w:r>
      <w:proofErr w:type="spellEnd"/>
      <w:proofErr w:type="gramEnd"/>
      <w:r w:rsidR="00611134">
        <w:rPr>
          <w:sz w:val="24"/>
          <w:szCs w:val="24"/>
        </w:rPr>
        <w:t>.) = 0.035 (p=0.852</w:t>
      </w:r>
      <w:r w:rsidRPr="00574843">
        <w:rPr>
          <w:sz w:val="24"/>
          <w:szCs w:val="24"/>
        </w:rPr>
        <w:t>)</w:t>
      </w:r>
    </w:p>
    <w:p w:rsidR="00D632DB" w:rsidRDefault="00BB5F7A" w:rsidP="00D632DB">
      <w:pPr>
        <w:rPr>
          <w:sz w:val="24"/>
          <w:szCs w:val="24"/>
        </w:rPr>
      </w:pPr>
      <w:proofErr w:type="spellStart"/>
      <w:proofErr w:type="gramStart"/>
      <w:r>
        <w:rPr>
          <w:sz w:val="24"/>
          <w:szCs w:val="24"/>
          <w:vertAlign w:val="superscript"/>
        </w:rPr>
        <w:t>c</w:t>
      </w:r>
      <w:r w:rsidR="00D632DB">
        <w:rPr>
          <w:sz w:val="24"/>
          <w:szCs w:val="24"/>
        </w:rPr>
        <w:t>Table</w:t>
      </w:r>
      <w:proofErr w:type="spellEnd"/>
      <w:proofErr w:type="gramEnd"/>
      <w:r w:rsidR="00D632DB">
        <w:rPr>
          <w:sz w:val="24"/>
          <w:szCs w:val="24"/>
        </w:rPr>
        <w:t xml:space="preserve"> 2 Sample, excluding those with missing values on the instruments: number of women</w:t>
      </w:r>
      <w:r w:rsidR="00611134">
        <w:rPr>
          <w:sz w:val="24"/>
          <w:szCs w:val="24"/>
        </w:rPr>
        <w:t>=411; number of woman years=2939</w:t>
      </w:r>
      <w:r w:rsidR="00D632DB">
        <w:rPr>
          <w:sz w:val="24"/>
          <w:szCs w:val="24"/>
        </w:rPr>
        <w:t>.</w:t>
      </w:r>
      <w:r w:rsidR="009D2E2E">
        <w:rPr>
          <w:sz w:val="24"/>
          <w:szCs w:val="24"/>
        </w:rPr>
        <w:t xml:space="preserve">  </w:t>
      </w:r>
    </w:p>
    <w:p w:rsidR="00D632DB" w:rsidRPr="00FC0819" w:rsidRDefault="00D632DB" w:rsidP="00D632DB">
      <w:pPr>
        <w:rPr>
          <w:sz w:val="24"/>
          <w:szCs w:val="24"/>
        </w:rPr>
      </w:pPr>
      <w:r>
        <w:rPr>
          <w:sz w:val="24"/>
          <w:szCs w:val="24"/>
        </w:rPr>
        <w:t xml:space="preserve">Under-identification (rank) test: </w:t>
      </w:r>
      <w:proofErr w:type="spellStart"/>
      <w:r w:rsidRPr="00EA2DDA">
        <w:rPr>
          <w:sz w:val="24"/>
          <w:szCs w:val="24"/>
        </w:rPr>
        <w:t>Kleibergen-Paap</w:t>
      </w:r>
      <w:proofErr w:type="spellEnd"/>
      <w:r w:rsidRPr="00EA2DDA">
        <w:rPr>
          <w:sz w:val="24"/>
          <w:szCs w:val="24"/>
        </w:rPr>
        <w:t xml:space="preserve"> </w:t>
      </w:r>
      <w:proofErr w:type="spellStart"/>
      <w:r w:rsidRPr="00EA2DDA">
        <w:rPr>
          <w:sz w:val="24"/>
          <w:szCs w:val="24"/>
        </w:rPr>
        <w:t>rk</w:t>
      </w:r>
      <w:proofErr w:type="spellEnd"/>
      <w:r w:rsidRPr="00EA2DDA">
        <w:rPr>
          <w:sz w:val="24"/>
          <w:szCs w:val="24"/>
        </w:rPr>
        <w:t xml:space="preserve"> LM statistic</w:t>
      </w:r>
      <w:r w:rsidR="00611134">
        <w:rPr>
          <w:sz w:val="24"/>
          <w:szCs w:val="24"/>
        </w:rPr>
        <w:t xml:space="preserve"> (chi-square 2 </w:t>
      </w:r>
      <w:proofErr w:type="spellStart"/>
      <w:proofErr w:type="gramStart"/>
      <w:r w:rsidR="00611134">
        <w:rPr>
          <w:sz w:val="24"/>
          <w:szCs w:val="24"/>
        </w:rPr>
        <w:t>d.f</w:t>
      </w:r>
      <w:proofErr w:type="spellEnd"/>
      <w:proofErr w:type="gramEnd"/>
      <w:r w:rsidR="00611134">
        <w:rPr>
          <w:sz w:val="24"/>
          <w:szCs w:val="24"/>
        </w:rPr>
        <w:t>.) = 134.99</w:t>
      </w:r>
      <w:r>
        <w:rPr>
          <w:sz w:val="24"/>
          <w:szCs w:val="24"/>
        </w:rPr>
        <w:t xml:space="preserve"> (p=0.0000).  </w:t>
      </w:r>
    </w:p>
    <w:p w:rsidR="00D632DB" w:rsidRDefault="00D632DB" w:rsidP="00D632DB">
      <w:pPr>
        <w:rPr>
          <w:sz w:val="24"/>
          <w:szCs w:val="24"/>
        </w:rPr>
      </w:pPr>
      <w:r w:rsidRPr="00574843">
        <w:rPr>
          <w:sz w:val="24"/>
          <w:szCs w:val="24"/>
        </w:rPr>
        <w:t>Over</w:t>
      </w:r>
      <w:r>
        <w:rPr>
          <w:sz w:val="24"/>
          <w:szCs w:val="24"/>
        </w:rPr>
        <w:t>-</w:t>
      </w:r>
      <w:r w:rsidRPr="00574843">
        <w:rPr>
          <w:sz w:val="24"/>
          <w:szCs w:val="24"/>
        </w:rPr>
        <w:t xml:space="preserve">identification test of all instruments: Hansen J statistic (chi-square </w:t>
      </w:r>
      <w:r w:rsidR="00611134">
        <w:rPr>
          <w:sz w:val="24"/>
          <w:szCs w:val="24"/>
        </w:rPr>
        <w:t xml:space="preserve">1 </w:t>
      </w:r>
      <w:proofErr w:type="spellStart"/>
      <w:proofErr w:type="gramStart"/>
      <w:r w:rsidR="00611134">
        <w:rPr>
          <w:sz w:val="24"/>
          <w:szCs w:val="24"/>
        </w:rPr>
        <w:t>d.f</w:t>
      </w:r>
      <w:proofErr w:type="spellEnd"/>
      <w:proofErr w:type="gramEnd"/>
      <w:r w:rsidR="00611134">
        <w:rPr>
          <w:sz w:val="24"/>
          <w:szCs w:val="24"/>
        </w:rPr>
        <w:t>.) = 0.022 (p=0.883</w:t>
      </w:r>
      <w:r w:rsidRPr="00574843">
        <w:rPr>
          <w:sz w:val="24"/>
          <w:szCs w:val="24"/>
        </w:rPr>
        <w:t>)</w:t>
      </w:r>
    </w:p>
    <w:p w:rsidR="00B21C42" w:rsidRDefault="00574843" w:rsidP="00574843">
      <w:pPr>
        <w:spacing w:line="480" w:lineRule="auto"/>
        <w:ind w:firstLine="720"/>
        <w:rPr>
          <w:sz w:val="24"/>
          <w:szCs w:val="24"/>
        </w:rPr>
      </w:pPr>
      <w:r>
        <w:rPr>
          <w:sz w:val="24"/>
          <w:szCs w:val="24"/>
        </w:rPr>
        <w:br w:type="page"/>
      </w:r>
    </w:p>
    <w:p w:rsidR="00FE03FC" w:rsidRDefault="00B0400D" w:rsidP="00C91A1C">
      <w:pPr>
        <w:spacing w:line="480" w:lineRule="auto"/>
        <w:ind w:firstLine="720"/>
        <w:rPr>
          <w:sz w:val="24"/>
          <w:szCs w:val="24"/>
        </w:rPr>
      </w:pPr>
      <w:r>
        <w:rPr>
          <w:sz w:val="24"/>
          <w:szCs w:val="24"/>
        </w:rPr>
        <w:lastRenderedPageBreak/>
        <w:t xml:space="preserve">As noted earlier, we do not have annual measures of financial wealth. As a consequence, we </w:t>
      </w:r>
      <w:r w:rsidR="00E34682">
        <w:rPr>
          <w:sz w:val="24"/>
          <w:szCs w:val="24"/>
        </w:rPr>
        <w:t>would</w:t>
      </w:r>
      <w:r>
        <w:rPr>
          <w:sz w:val="24"/>
          <w:szCs w:val="24"/>
        </w:rPr>
        <w:t xml:space="preserve"> overstate the </w:t>
      </w:r>
      <w:r w:rsidR="00E34682">
        <w:rPr>
          <w:sz w:val="24"/>
          <w:szCs w:val="24"/>
        </w:rPr>
        <w:t>impact of the equity ratio if it is positively co</w:t>
      </w:r>
      <w:r w:rsidR="004C29E5">
        <w:rPr>
          <w:sz w:val="24"/>
          <w:szCs w:val="24"/>
        </w:rPr>
        <w:t xml:space="preserve">rrelated with financial wealth </w:t>
      </w:r>
      <w:r w:rsidR="00E34682">
        <w:rPr>
          <w:sz w:val="24"/>
          <w:szCs w:val="24"/>
        </w:rPr>
        <w:t>over tim</w:t>
      </w:r>
      <w:r w:rsidR="00580032">
        <w:rPr>
          <w:sz w:val="24"/>
          <w:szCs w:val="24"/>
        </w:rPr>
        <w:t xml:space="preserve">e within </w:t>
      </w:r>
      <w:r w:rsidR="004C29E5">
        <w:rPr>
          <w:sz w:val="24"/>
          <w:szCs w:val="24"/>
        </w:rPr>
        <w:t>persons</w:t>
      </w:r>
      <w:r w:rsidR="00E34682">
        <w:rPr>
          <w:sz w:val="24"/>
          <w:szCs w:val="24"/>
        </w:rPr>
        <w:t>.</w:t>
      </w:r>
      <w:r w:rsidR="00F3581D">
        <w:rPr>
          <w:sz w:val="24"/>
          <w:szCs w:val="24"/>
        </w:rPr>
        <w:t xml:space="preserve"> </w:t>
      </w:r>
      <w:r w:rsidR="00FE03FC">
        <w:rPr>
          <w:sz w:val="24"/>
          <w:szCs w:val="24"/>
        </w:rPr>
        <w:t>We check whether this might be a problem using the information from the BHPS on net financial wealth in 1995 and 2000.  The correlation between change in a person’s net real financial wealth and their housing equity ratio between these two dates is only 0.02.  Thus, we do not think that the absence of a financial wealth measure biases our estimates.  Note that this because we only use within-person variation to estimate the parameters; it would be more likely to be a problem if we used cross-section variation because the level of net financial wealth and the equity ratio are correlated (</w:t>
      </w:r>
      <w:proofErr w:type="spellStart"/>
      <w:r w:rsidR="00FE03FC">
        <w:rPr>
          <w:sz w:val="24"/>
          <w:szCs w:val="24"/>
        </w:rPr>
        <w:t>e.g</w:t>
      </w:r>
      <w:proofErr w:type="spellEnd"/>
      <w:r w:rsidR="00FE03FC">
        <w:rPr>
          <w:sz w:val="24"/>
          <w:szCs w:val="24"/>
        </w:rPr>
        <w:t xml:space="preserve"> </w:t>
      </w:r>
      <w:r w:rsidR="00FE03FC">
        <w:rPr>
          <w:i/>
          <w:sz w:val="24"/>
          <w:szCs w:val="24"/>
        </w:rPr>
        <w:t>r</w:t>
      </w:r>
      <w:r w:rsidR="00FE03FC">
        <w:rPr>
          <w:sz w:val="24"/>
          <w:szCs w:val="24"/>
        </w:rPr>
        <w:t xml:space="preserve">=0.20 in the 2000 BHPS).  </w:t>
      </w:r>
    </w:p>
    <w:p w:rsidR="00C91A1C" w:rsidRDefault="00F3581D" w:rsidP="00C91A1C">
      <w:pPr>
        <w:spacing w:line="480" w:lineRule="auto"/>
        <w:ind w:firstLine="720"/>
        <w:rPr>
          <w:sz w:val="24"/>
          <w:szCs w:val="24"/>
        </w:rPr>
      </w:pPr>
      <w:r>
        <w:rPr>
          <w:sz w:val="24"/>
          <w:szCs w:val="24"/>
        </w:rPr>
        <w:t xml:space="preserve"> It might also be the case that people with </w:t>
      </w:r>
      <w:r w:rsidR="000745F2">
        <w:rPr>
          <w:sz w:val="24"/>
          <w:szCs w:val="24"/>
        </w:rPr>
        <w:t xml:space="preserve">a </w:t>
      </w:r>
      <w:r>
        <w:rPr>
          <w:sz w:val="24"/>
          <w:szCs w:val="24"/>
        </w:rPr>
        <w:t>shorter expected residential</w:t>
      </w:r>
      <w:r w:rsidR="000745F2">
        <w:rPr>
          <w:sz w:val="24"/>
          <w:szCs w:val="24"/>
        </w:rPr>
        <w:t xml:space="preserve"> duration</w:t>
      </w:r>
      <w:r>
        <w:rPr>
          <w:sz w:val="24"/>
          <w:szCs w:val="24"/>
        </w:rPr>
        <w:t xml:space="preserve"> </w:t>
      </w:r>
      <w:r w:rsidR="00C91A1C">
        <w:rPr>
          <w:sz w:val="24"/>
          <w:szCs w:val="24"/>
        </w:rPr>
        <w:t xml:space="preserve">after a particular move </w:t>
      </w:r>
      <w:r>
        <w:rPr>
          <w:sz w:val="24"/>
          <w:szCs w:val="24"/>
        </w:rPr>
        <w:t xml:space="preserve">may choose different initial levels of equity when they purchase.  </w:t>
      </w:r>
      <w:r w:rsidR="000745F2">
        <w:rPr>
          <w:sz w:val="24"/>
          <w:szCs w:val="24"/>
        </w:rPr>
        <w:t>To the extent that this expectation is persistent over time it should be captured in the fixed effect, but it is possible that some moves are perceived to be more temporary than others.</w:t>
      </w:r>
    </w:p>
    <w:p w:rsidR="006F4EAF" w:rsidRDefault="00D402B4" w:rsidP="00C91A1C">
      <w:pPr>
        <w:spacing w:line="480" w:lineRule="auto"/>
        <w:rPr>
          <w:sz w:val="24"/>
          <w:szCs w:val="24"/>
        </w:rPr>
      </w:pPr>
      <w:r>
        <w:rPr>
          <w:sz w:val="24"/>
          <w:szCs w:val="24"/>
        </w:rPr>
        <w:tab/>
        <w:t>Some of the other variables have an important influence on mobility</w:t>
      </w:r>
      <w:r w:rsidR="007858FF">
        <w:rPr>
          <w:sz w:val="24"/>
          <w:szCs w:val="24"/>
        </w:rPr>
        <w:t xml:space="preserve"> (see Table B3 in Appendix B)</w:t>
      </w:r>
      <w:r>
        <w:rPr>
          <w:sz w:val="24"/>
          <w:szCs w:val="24"/>
        </w:rPr>
        <w:t xml:space="preserve">.  </w:t>
      </w:r>
      <w:r w:rsidR="006D5BA5">
        <w:rPr>
          <w:sz w:val="24"/>
          <w:szCs w:val="24"/>
        </w:rPr>
        <w:t xml:space="preserve">The older the </w:t>
      </w:r>
      <w:r w:rsidR="00580032">
        <w:rPr>
          <w:sz w:val="24"/>
          <w:szCs w:val="24"/>
        </w:rPr>
        <w:t>woman, the less likely she</w:t>
      </w:r>
      <w:r w:rsidR="006D5BA5">
        <w:rPr>
          <w:sz w:val="24"/>
          <w:szCs w:val="24"/>
        </w:rPr>
        <w:t xml:space="preserve"> will move, but the longer that </w:t>
      </w:r>
      <w:r w:rsidR="00580032">
        <w:rPr>
          <w:sz w:val="24"/>
          <w:szCs w:val="24"/>
        </w:rPr>
        <w:t>she</w:t>
      </w:r>
      <w:r w:rsidR="006D5BA5">
        <w:rPr>
          <w:sz w:val="24"/>
          <w:szCs w:val="24"/>
        </w:rPr>
        <w:t xml:space="preserve"> have resided in </w:t>
      </w:r>
      <w:r w:rsidR="00580032">
        <w:rPr>
          <w:sz w:val="24"/>
          <w:szCs w:val="24"/>
        </w:rPr>
        <w:t>her</w:t>
      </w:r>
      <w:r w:rsidR="006D5BA5">
        <w:rPr>
          <w:sz w:val="24"/>
          <w:szCs w:val="24"/>
        </w:rPr>
        <w:t xml:space="preserve"> current house, the more likely </w:t>
      </w:r>
      <w:r w:rsidR="00580032">
        <w:rPr>
          <w:sz w:val="24"/>
          <w:szCs w:val="24"/>
        </w:rPr>
        <w:t xml:space="preserve">she will </w:t>
      </w:r>
      <w:r w:rsidR="006D5BA5">
        <w:rPr>
          <w:sz w:val="24"/>
          <w:szCs w:val="24"/>
        </w:rPr>
        <w:t>move.  Women with a partner are much less likely to move, and the presence of children aged 5-11 also discourages movement</w:t>
      </w:r>
      <w:r w:rsidR="00B90400">
        <w:rPr>
          <w:sz w:val="24"/>
          <w:szCs w:val="24"/>
        </w:rPr>
        <w:t>, as does experience of a decline in household size in the previous year</w:t>
      </w:r>
      <w:r w:rsidR="006D5BA5">
        <w:rPr>
          <w:sz w:val="24"/>
          <w:szCs w:val="24"/>
        </w:rPr>
        <w:t xml:space="preserve">.  </w:t>
      </w:r>
    </w:p>
    <w:p w:rsidR="003F5F52" w:rsidRDefault="003F5F52" w:rsidP="00C91A1C">
      <w:pPr>
        <w:spacing w:line="480" w:lineRule="auto"/>
        <w:rPr>
          <w:sz w:val="24"/>
          <w:szCs w:val="24"/>
        </w:rPr>
      </w:pPr>
    </w:p>
    <w:p w:rsidR="00517E0D" w:rsidRDefault="00517E0D" w:rsidP="00231323">
      <w:pPr>
        <w:spacing w:line="480" w:lineRule="auto"/>
        <w:rPr>
          <w:sz w:val="24"/>
          <w:szCs w:val="24"/>
          <w:u w:val="single"/>
        </w:rPr>
      </w:pPr>
    </w:p>
    <w:p w:rsidR="00517E0D" w:rsidRDefault="00517E0D" w:rsidP="00231323">
      <w:pPr>
        <w:spacing w:line="480" w:lineRule="auto"/>
        <w:rPr>
          <w:sz w:val="24"/>
          <w:szCs w:val="24"/>
          <w:u w:val="single"/>
        </w:rPr>
      </w:pPr>
    </w:p>
    <w:p w:rsidR="00231323" w:rsidRDefault="00231323" w:rsidP="00231323">
      <w:pPr>
        <w:spacing w:line="480" w:lineRule="auto"/>
        <w:rPr>
          <w:sz w:val="24"/>
          <w:szCs w:val="24"/>
        </w:rPr>
      </w:pPr>
      <w:r>
        <w:rPr>
          <w:sz w:val="24"/>
          <w:szCs w:val="24"/>
          <w:u w:val="single"/>
        </w:rPr>
        <w:lastRenderedPageBreak/>
        <w:t>Conclusions</w:t>
      </w:r>
    </w:p>
    <w:p w:rsidR="00231323" w:rsidRDefault="00231323" w:rsidP="00231323">
      <w:pPr>
        <w:spacing w:line="480" w:lineRule="auto"/>
        <w:rPr>
          <w:sz w:val="24"/>
          <w:szCs w:val="24"/>
        </w:rPr>
      </w:pPr>
      <w:r>
        <w:rPr>
          <w:sz w:val="24"/>
          <w:szCs w:val="24"/>
        </w:rPr>
        <w:t xml:space="preserve">Our main finding is that an increase in a household’s housing equity encourages residential mobility, and a decline discourages it.  Matching models of housing markets, such as </w:t>
      </w:r>
      <w:smartTag w:uri="urn:schemas-microsoft-com:office:smarttags" w:element="City">
        <w:smartTag w:uri="urn:schemas-microsoft-com:office:smarttags" w:element="place">
          <w:r>
            <w:rPr>
              <w:sz w:val="24"/>
              <w:szCs w:val="24"/>
            </w:rPr>
            <w:t>Wheaton</w:t>
          </w:r>
        </w:smartTag>
      </w:smartTag>
      <w:r>
        <w:rPr>
          <w:sz w:val="24"/>
          <w:szCs w:val="24"/>
        </w:rPr>
        <w:t xml:space="preserve"> (1990), would then suggest that exogenous shocks to market house prices can be amplified because of the influence of equity on residential mobility.  A boom will encourage mobility of existing owners, and the additional market turnover will raise house prices further.  Correspondingly, a house price bust will be larger because of reduced residential mobility.  </w:t>
      </w:r>
      <w:r w:rsidR="003570F1">
        <w:rPr>
          <w:sz w:val="24"/>
          <w:szCs w:val="24"/>
        </w:rPr>
        <w:t>We find that relative house price shocks do not have these amplification effects because the effects of equity and relative house prices given equity have offsetting effects.</w:t>
      </w:r>
    </w:p>
    <w:p w:rsidR="00231323" w:rsidRDefault="00231323" w:rsidP="00231323">
      <w:pPr>
        <w:spacing w:line="480" w:lineRule="auto"/>
        <w:ind w:firstLine="720"/>
        <w:rPr>
          <w:sz w:val="24"/>
          <w:szCs w:val="24"/>
        </w:rPr>
      </w:pPr>
      <w:r>
        <w:rPr>
          <w:sz w:val="24"/>
          <w:szCs w:val="24"/>
        </w:rPr>
        <w:t>We believe that our econometric estimates are more robust than earlier ones because we do not rely on cross-section variation in housing equity across households, but rather within-person variation and multiple moves by some persons.  Indeed, our analysis rejects random effect or pooled estimates of the parameters</w:t>
      </w:r>
      <w:r w:rsidR="00A8731C">
        <w:rPr>
          <w:sz w:val="24"/>
          <w:szCs w:val="24"/>
        </w:rPr>
        <w:t xml:space="preserve">, indicating that these bias the estimated impact of housing equity </w:t>
      </w:r>
      <w:r w:rsidR="003570F1">
        <w:rPr>
          <w:sz w:val="24"/>
          <w:szCs w:val="24"/>
        </w:rPr>
        <w:t xml:space="preserve">and relative house prices </w:t>
      </w:r>
      <w:r w:rsidR="00A8731C">
        <w:rPr>
          <w:sz w:val="24"/>
          <w:szCs w:val="24"/>
        </w:rPr>
        <w:t xml:space="preserve">on residential mobility </w:t>
      </w:r>
      <w:r w:rsidR="00BD2936">
        <w:rPr>
          <w:sz w:val="24"/>
          <w:szCs w:val="24"/>
        </w:rPr>
        <w:t>downwards substantially</w:t>
      </w:r>
      <w:r>
        <w:rPr>
          <w:sz w:val="24"/>
          <w:szCs w:val="24"/>
        </w:rPr>
        <w:t>.  Our estimates suggest that</w:t>
      </w:r>
      <w:r w:rsidR="00E43373">
        <w:rPr>
          <w:sz w:val="24"/>
          <w:szCs w:val="24"/>
        </w:rPr>
        <w:t>, given the relative house price,</w:t>
      </w:r>
      <w:r>
        <w:rPr>
          <w:sz w:val="24"/>
          <w:szCs w:val="24"/>
        </w:rPr>
        <w:t xml:space="preserve"> the impact of equity on movement is </w:t>
      </w:r>
      <w:r w:rsidR="00BD2936">
        <w:rPr>
          <w:sz w:val="24"/>
          <w:szCs w:val="24"/>
        </w:rPr>
        <w:t>relatively large</w:t>
      </w:r>
      <w:r>
        <w:rPr>
          <w:sz w:val="24"/>
          <w:szCs w:val="24"/>
        </w:rPr>
        <w:t xml:space="preserve">, with an increase of 0.10 in the equity ratio </w:t>
      </w:r>
      <w:r w:rsidR="00BD2936">
        <w:rPr>
          <w:sz w:val="24"/>
          <w:szCs w:val="24"/>
        </w:rPr>
        <w:t>increas</w:t>
      </w:r>
      <w:r>
        <w:rPr>
          <w:sz w:val="24"/>
          <w:szCs w:val="24"/>
        </w:rPr>
        <w:t>ing the probabili</w:t>
      </w:r>
      <w:r w:rsidR="00BD2936">
        <w:rPr>
          <w:sz w:val="24"/>
          <w:szCs w:val="24"/>
        </w:rPr>
        <w:t>ty of moving house by about 0.0</w:t>
      </w:r>
      <w:r w:rsidR="00532292">
        <w:rPr>
          <w:sz w:val="24"/>
          <w:szCs w:val="24"/>
        </w:rPr>
        <w:t>1</w:t>
      </w:r>
      <w:r>
        <w:rPr>
          <w:sz w:val="24"/>
          <w:szCs w:val="24"/>
        </w:rPr>
        <w:t xml:space="preserve"> for households with an average underlying mobility rate of about 0.09.</w:t>
      </w:r>
    </w:p>
    <w:p w:rsidR="00EE6ED6" w:rsidRDefault="00231323" w:rsidP="00231323">
      <w:pPr>
        <w:rPr>
          <w:sz w:val="24"/>
          <w:szCs w:val="24"/>
        </w:rPr>
      </w:pPr>
      <w:r>
        <w:rPr>
          <w:sz w:val="24"/>
          <w:szCs w:val="24"/>
        </w:rPr>
        <w:br w:type="page"/>
      </w:r>
    </w:p>
    <w:p w:rsidR="00EE6ED6" w:rsidRDefault="00EE6ED6" w:rsidP="006E0934">
      <w:pPr>
        <w:rPr>
          <w:sz w:val="24"/>
          <w:szCs w:val="24"/>
        </w:rPr>
      </w:pPr>
    </w:p>
    <w:p w:rsidR="00EE6ED6" w:rsidRDefault="00EE6ED6" w:rsidP="00EE6ED6">
      <w:pPr>
        <w:jc w:val="center"/>
        <w:rPr>
          <w:sz w:val="24"/>
          <w:szCs w:val="24"/>
        </w:rPr>
      </w:pPr>
      <w:r>
        <w:rPr>
          <w:sz w:val="24"/>
          <w:szCs w:val="24"/>
        </w:rPr>
        <w:t>Appendix A</w:t>
      </w:r>
    </w:p>
    <w:p w:rsidR="00EE6ED6" w:rsidRPr="00EE6ED6" w:rsidRDefault="00EE6ED6" w:rsidP="00EE6ED6">
      <w:pPr>
        <w:jc w:val="center"/>
        <w:rPr>
          <w:b/>
          <w:sz w:val="24"/>
          <w:szCs w:val="24"/>
        </w:rPr>
      </w:pPr>
      <w:r w:rsidRPr="00EE6ED6">
        <w:rPr>
          <w:b/>
          <w:sz w:val="24"/>
          <w:szCs w:val="24"/>
        </w:rPr>
        <w:t>Local authority house price data</w:t>
      </w:r>
    </w:p>
    <w:p w:rsidR="00EE6ED6" w:rsidRPr="00EE6ED6" w:rsidRDefault="00EE6ED6" w:rsidP="00EE6ED6">
      <w:pPr>
        <w:numPr>
          <w:ilvl w:val="0"/>
          <w:numId w:val="2"/>
        </w:numPr>
        <w:rPr>
          <w:sz w:val="24"/>
          <w:szCs w:val="24"/>
        </w:rPr>
      </w:pPr>
      <w:r w:rsidRPr="00EE6ED6">
        <w:rPr>
          <w:sz w:val="24"/>
          <w:szCs w:val="24"/>
        </w:rPr>
        <w:t>Official BHPS datasets mapping the 4-digit local authority district code to BHPS (wave-specific) household IDs (</w:t>
      </w:r>
      <w:r w:rsidR="00F60C2F">
        <w:rPr>
          <w:sz w:val="24"/>
          <w:szCs w:val="24"/>
        </w:rPr>
        <w:t>HID</w:t>
      </w:r>
      <w:r w:rsidRPr="00EE6ED6">
        <w:rPr>
          <w:sz w:val="24"/>
          <w:szCs w:val="24"/>
        </w:rPr>
        <w:t xml:space="preserve">) </w:t>
      </w:r>
      <w:r w:rsidR="00F60C2F">
        <w:rPr>
          <w:sz w:val="24"/>
          <w:szCs w:val="24"/>
        </w:rPr>
        <w:t>are available under Conditional Access conditions (see www.esds.ac.uk)</w:t>
      </w:r>
      <w:r w:rsidRPr="00EE6ED6">
        <w:rPr>
          <w:sz w:val="24"/>
          <w:szCs w:val="24"/>
        </w:rPr>
        <w:t xml:space="preserve">. Files doing this are named </w:t>
      </w:r>
      <w:r w:rsidRPr="00EE6ED6">
        <w:rPr>
          <w:sz w:val="24"/>
          <w:szCs w:val="24"/>
          <w:u w:val="single"/>
        </w:rPr>
        <w:t>alad.dta</w:t>
      </w:r>
      <w:r w:rsidRPr="00EE6ED6">
        <w:rPr>
          <w:sz w:val="24"/>
          <w:szCs w:val="24"/>
        </w:rPr>
        <w:t xml:space="preserve"> to </w:t>
      </w:r>
      <w:r w:rsidRPr="00EE6ED6">
        <w:rPr>
          <w:sz w:val="24"/>
          <w:szCs w:val="24"/>
          <w:u w:val="single"/>
        </w:rPr>
        <w:t>rlad.dta</w:t>
      </w:r>
      <w:r w:rsidRPr="00EE6ED6">
        <w:rPr>
          <w:sz w:val="24"/>
          <w:szCs w:val="24"/>
        </w:rPr>
        <w:t>, within whic</w:t>
      </w:r>
      <w:r>
        <w:rPr>
          <w:sz w:val="24"/>
          <w:szCs w:val="24"/>
        </w:rPr>
        <w:t xml:space="preserve">h the LA id variable is called </w:t>
      </w:r>
      <w:proofErr w:type="spellStart"/>
      <w:r w:rsidR="00F60C2F">
        <w:rPr>
          <w:sz w:val="24"/>
          <w:szCs w:val="24"/>
        </w:rPr>
        <w:t>wLAD</w:t>
      </w:r>
      <w:proofErr w:type="spellEnd"/>
      <w:r w:rsidRPr="00EE6ED6">
        <w:rPr>
          <w:sz w:val="24"/>
          <w:szCs w:val="24"/>
        </w:rPr>
        <w:t xml:space="preserve">. </w:t>
      </w:r>
    </w:p>
    <w:p w:rsidR="00EE6ED6" w:rsidRPr="00EE6ED6" w:rsidRDefault="00EE6ED6" w:rsidP="00EE6ED6">
      <w:pPr>
        <w:numPr>
          <w:ilvl w:val="0"/>
          <w:numId w:val="2"/>
        </w:numPr>
        <w:rPr>
          <w:sz w:val="24"/>
          <w:szCs w:val="24"/>
        </w:rPr>
      </w:pPr>
      <w:r w:rsidRPr="00EE6ED6">
        <w:rPr>
          <w:sz w:val="24"/>
          <w:szCs w:val="24"/>
        </w:rPr>
        <w:t>The Land Registry dataset contains monthly series from Jan 1995 onwards</w:t>
      </w:r>
      <w:r w:rsidR="00F60C2F">
        <w:rPr>
          <w:sz w:val="24"/>
          <w:szCs w:val="24"/>
        </w:rPr>
        <w:t xml:space="preserve"> (www.</w:t>
      </w:r>
      <w:r w:rsidR="00F60C2F" w:rsidRPr="00F60C2F">
        <w:t xml:space="preserve"> </w:t>
      </w:r>
      <w:r w:rsidR="00F60C2F" w:rsidRPr="00F60C2F">
        <w:rPr>
          <w:sz w:val="24"/>
          <w:szCs w:val="24"/>
        </w:rPr>
        <w:t>www.landreg.gov.uk/house-prices</w:t>
      </w:r>
      <w:r w:rsidR="00F60C2F">
        <w:rPr>
          <w:sz w:val="24"/>
          <w:szCs w:val="24"/>
        </w:rPr>
        <w:t>)</w:t>
      </w:r>
      <w:r w:rsidRPr="00EE6ED6">
        <w:rPr>
          <w:sz w:val="24"/>
          <w:szCs w:val="24"/>
        </w:rPr>
        <w:t>.  There are 172 localities at the lowest (least disaggregated) level, giving a total of 172 areas * ((16 years * 12 months</w:t>
      </w:r>
      <w:proofErr w:type="gramStart"/>
      <w:r w:rsidRPr="00EE6ED6">
        <w:rPr>
          <w:sz w:val="24"/>
          <w:szCs w:val="24"/>
        </w:rPr>
        <w:t>)+</w:t>
      </w:r>
      <w:proofErr w:type="gramEnd"/>
      <w:r w:rsidRPr="00EE6ED6">
        <w:rPr>
          <w:sz w:val="24"/>
          <w:szCs w:val="24"/>
        </w:rPr>
        <w:t xml:space="preserve">2 months from 2011) = 33,338 observations. In addition, series are provided for 18 more aggregated areas: </w:t>
      </w:r>
      <w:smartTag w:uri="urn:schemas-microsoft-com:office:smarttags" w:element="country-region">
        <w:smartTag w:uri="urn:schemas-microsoft-com:office:smarttags" w:element="place">
          <w:r w:rsidRPr="00EE6ED6">
            <w:rPr>
              <w:sz w:val="24"/>
              <w:szCs w:val="24"/>
            </w:rPr>
            <w:t>England</w:t>
          </w:r>
        </w:smartTag>
      </w:smartTag>
      <w:r w:rsidRPr="00EE6ED6">
        <w:rPr>
          <w:sz w:val="24"/>
          <w:szCs w:val="24"/>
        </w:rPr>
        <w:t xml:space="preserve"> and </w:t>
      </w:r>
      <w:smartTag w:uri="urn:schemas-microsoft-com:office:smarttags" w:element="country-region">
        <w:smartTag w:uri="urn:schemas-microsoft-com:office:smarttags" w:element="place">
          <w:r w:rsidRPr="00EE6ED6">
            <w:rPr>
              <w:sz w:val="24"/>
              <w:szCs w:val="24"/>
            </w:rPr>
            <w:t>Wales</w:t>
          </w:r>
        </w:smartTag>
      </w:smartTag>
      <w:r w:rsidRPr="00EE6ED6">
        <w:rPr>
          <w:sz w:val="24"/>
          <w:szCs w:val="24"/>
        </w:rPr>
        <w:t xml:space="preserve"> as a whole, Greater London, 9 regions/unitary authorities, and 7 metropolitan counties (a further 3492 observations).  The series provided are:</w:t>
      </w:r>
    </w:p>
    <w:p w:rsidR="00EE6ED6" w:rsidRPr="00EE6ED6" w:rsidRDefault="00EE6ED6" w:rsidP="00EE6ED6">
      <w:pPr>
        <w:numPr>
          <w:ilvl w:val="1"/>
          <w:numId w:val="2"/>
        </w:numPr>
        <w:rPr>
          <w:sz w:val="24"/>
          <w:szCs w:val="24"/>
        </w:rPr>
      </w:pPr>
      <w:r w:rsidRPr="00EE6ED6">
        <w:rPr>
          <w:sz w:val="24"/>
          <w:szCs w:val="24"/>
        </w:rPr>
        <w:t>House Price Index (HPI) with Jan 1995=100.</w:t>
      </w:r>
    </w:p>
    <w:p w:rsidR="00EE6ED6" w:rsidRPr="00EE6ED6" w:rsidRDefault="00EE6ED6" w:rsidP="00EE6ED6">
      <w:pPr>
        <w:numPr>
          <w:ilvl w:val="1"/>
          <w:numId w:val="2"/>
        </w:numPr>
        <w:rPr>
          <w:sz w:val="24"/>
          <w:szCs w:val="24"/>
        </w:rPr>
      </w:pPr>
      <w:r w:rsidRPr="00EE6ED6">
        <w:rPr>
          <w:sz w:val="24"/>
          <w:szCs w:val="24"/>
        </w:rPr>
        <w:t>Average price (£)</w:t>
      </w:r>
    </w:p>
    <w:p w:rsidR="00EE6ED6" w:rsidRPr="00EE6ED6" w:rsidRDefault="00EE6ED6" w:rsidP="00EE6ED6">
      <w:pPr>
        <w:numPr>
          <w:ilvl w:val="1"/>
          <w:numId w:val="2"/>
        </w:numPr>
        <w:rPr>
          <w:sz w:val="24"/>
          <w:szCs w:val="24"/>
        </w:rPr>
      </w:pPr>
      <w:r w:rsidRPr="00EE6ED6">
        <w:rPr>
          <w:sz w:val="24"/>
          <w:szCs w:val="24"/>
        </w:rPr>
        <w:t>Monthly change (%)</w:t>
      </w:r>
    </w:p>
    <w:p w:rsidR="00EE6ED6" w:rsidRPr="00EE6ED6" w:rsidRDefault="00EE6ED6" w:rsidP="00EE6ED6">
      <w:pPr>
        <w:numPr>
          <w:ilvl w:val="1"/>
          <w:numId w:val="2"/>
        </w:numPr>
        <w:rPr>
          <w:sz w:val="24"/>
          <w:szCs w:val="24"/>
        </w:rPr>
      </w:pPr>
      <w:r w:rsidRPr="00EE6ED6">
        <w:rPr>
          <w:sz w:val="24"/>
          <w:szCs w:val="24"/>
        </w:rPr>
        <w:t>Annual change (%)</w:t>
      </w:r>
    </w:p>
    <w:p w:rsidR="00EE6ED6" w:rsidRPr="00EE6ED6" w:rsidRDefault="00EE6ED6" w:rsidP="00EE6ED6">
      <w:pPr>
        <w:numPr>
          <w:ilvl w:val="1"/>
          <w:numId w:val="2"/>
        </w:numPr>
        <w:rPr>
          <w:sz w:val="24"/>
          <w:szCs w:val="24"/>
        </w:rPr>
      </w:pPr>
      <w:r w:rsidRPr="00EE6ED6">
        <w:rPr>
          <w:sz w:val="24"/>
          <w:szCs w:val="24"/>
        </w:rPr>
        <w:t>Sales volume (all sales)</w:t>
      </w:r>
    </w:p>
    <w:p w:rsidR="00EE6ED6" w:rsidRPr="00EE6ED6" w:rsidRDefault="00EE6ED6" w:rsidP="00EE6ED6">
      <w:pPr>
        <w:numPr>
          <w:ilvl w:val="1"/>
          <w:numId w:val="2"/>
        </w:numPr>
        <w:rPr>
          <w:sz w:val="24"/>
          <w:szCs w:val="24"/>
        </w:rPr>
      </w:pPr>
      <w:r w:rsidRPr="00EE6ED6">
        <w:rPr>
          <w:sz w:val="24"/>
          <w:szCs w:val="24"/>
        </w:rPr>
        <w:t>Average price of detached houses (£)</w:t>
      </w:r>
    </w:p>
    <w:p w:rsidR="00EE6ED6" w:rsidRPr="00EE6ED6" w:rsidRDefault="00EE6ED6" w:rsidP="00EE6ED6">
      <w:pPr>
        <w:numPr>
          <w:ilvl w:val="1"/>
          <w:numId w:val="2"/>
        </w:numPr>
        <w:rPr>
          <w:sz w:val="24"/>
          <w:szCs w:val="24"/>
        </w:rPr>
      </w:pPr>
      <w:r w:rsidRPr="00EE6ED6">
        <w:rPr>
          <w:sz w:val="24"/>
          <w:szCs w:val="24"/>
        </w:rPr>
        <w:t>Average price of semidetached houses (£)</w:t>
      </w:r>
    </w:p>
    <w:p w:rsidR="00EE6ED6" w:rsidRPr="00EE6ED6" w:rsidRDefault="00EE6ED6" w:rsidP="00EE6ED6">
      <w:pPr>
        <w:numPr>
          <w:ilvl w:val="1"/>
          <w:numId w:val="2"/>
        </w:numPr>
        <w:rPr>
          <w:sz w:val="24"/>
          <w:szCs w:val="24"/>
        </w:rPr>
      </w:pPr>
      <w:r w:rsidRPr="00EE6ED6">
        <w:rPr>
          <w:sz w:val="24"/>
          <w:szCs w:val="24"/>
        </w:rPr>
        <w:t>Average price of terraced houses (£)</w:t>
      </w:r>
    </w:p>
    <w:p w:rsidR="00EE6ED6" w:rsidRPr="00EE6ED6" w:rsidRDefault="00EE6ED6" w:rsidP="00EE6ED6">
      <w:pPr>
        <w:numPr>
          <w:ilvl w:val="1"/>
          <w:numId w:val="2"/>
        </w:numPr>
        <w:rPr>
          <w:sz w:val="24"/>
          <w:szCs w:val="24"/>
        </w:rPr>
      </w:pPr>
      <w:r w:rsidRPr="00EE6ED6">
        <w:rPr>
          <w:sz w:val="24"/>
          <w:szCs w:val="24"/>
        </w:rPr>
        <w:t>Average price of maisonettes/flats (£)</w:t>
      </w:r>
    </w:p>
    <w:p w:rsidR="00EE6ED6" w:rsidRDefault="00EE6ED6" w:rsidP="00EE6ED6">
      <w:pPr>
        <w:numPr>
          <w:ilvl w:val="0"/>
          <w:numId w:val="2"/>
        </w:numPr>
        <w:rPr>
          <w:sz w:val="24"/>
          <w:szCs w:val="24"/>
        </w:rPr>
      </w:pPr>
      <w:r w:rsidRPr="00EE6ED6">
        <w:rPr>
          <w:i/>
          <w:sz w:val="24"/>
          <w:szCs w:val="24"/>
        </w:rPr>
        <w:t>Matching the data.</w:t>
      </w:r>
      <w:r w:rsidRPr="00EE6ED6">
        <w:rPr>
          <w:sz w:val="24"/>
          <w:szCs w:val="24"/>
        </w:rPr>
        <w:t xml:space="preserve"> In total there are 376 local authorities in </w:t>
      </w:r>
      <w:smartTag w:uri="urn:schemas-microsoft-com:office:smarttags" w:element="country-region">
        <w:smartTag w:uri="urn:schemas-microsoft-com:office:smarttags" w:element="place">
          <w:r w:rsidRPr="00EE6ED6">
            <w:rPr>
              <w:sz w:val="24"/>
              <w:szCs w:val="24"/>
            </w:rPr>
            <w:t>England</w:t>
          </w:r>
        </w:smartTag>
      </w:smartTag>
      <w:r w:rsidRPr="00EE6ED6">
        <w:rPr>
          <w:sz w:val="24"/>
          <w:szCs w:val="24"/>
        </w:rPr>
        <w:t xml:space="preserve"> and </w:t>
      </w:r>
      <w:smartTag w:uri="urn:schemas-microsoft-com:office:smarttags" w:element="country-region">
        <w:smartTag w:uri="urn:schemas-microsoft-com:office:smarttags" w:element="place">
          <w:r w:rsidRPr="00EE6ED6">
            <w:rPr>
              <w:sz w:val="24"/>
              <w:szCs w:val="24"/>
            </w:rPr>
            <w:t>Wales</w:t>
          </w:r>
        </w:smartTag>
      </w:smartTag>
      <w:r w:rsidRPr="00EE6ED6">
        <w:rPr>
          <w:sz w:val="24"/>
          <w:szCs w:val="24"/>
        </w:rPr>
        <w:t xml:space="preserve"> at the lowest level, potentially represented in the BHPS. The Land Registry </w:t>
      </w:r>
      <w:proofErr w:type="gramStart"/>
      <w:r w:rsidRPr="00EE6ED6">
        <w:rPr>
          <w:sz w:val="24"/>
          <w:szCs w:val="24"/>
        </w:rPr>
        <w:t>provide</w:t>
      </w:r>
      <w:proofErr w:type="gramEnd"/>
      <w:r w:rsidRPr="00EE6ED6">
        <w:rPr>
          <w:sz w:val="24"/>
          <w:szCs w:val="24"/>
        </w:rPr>
        <w:t xml:space="preserve"> data for 172 local areas, the difference being that individual districts within non-metropolitan counties are not disaggregated</w:t>
      </w:r>
      <w:r w:rsidR="00F60C2F">
        <w:rPr>
          <w:sz w:val="24"/>
          <w:szCs w:val="24"/>
        </w:rPr>
        <w:t xml:space="preserve">. </w:t>
      </w:r>
      <w:r w:rsidRPr="00EE6ED6">
        <w:rPr>
          <w:sz w:val="24"/>
          <w:szCs w:val="24"/>
        </w:rPr>
        <w:t xml:space="preserve"> (</w:t>
      </w:r>
      <w:r w:rsidR="00F60C2F">
        <w:rPr>
          <w:sz w:val="24"/>
          <w:szCs w:val="24"/>
        </w:rPr>
        <w:t>For example,</w:t>
      </w:r>
      <w:r w:rsidRPr="00EE6ED6">
        <w:rPr>
          <w:sz w:val="24"/>
          <w:szCs w:val="24"/>
        </w:rPr>
        <w:t xml:space="preserve"> </w:t>
      </w:r>
      <w:smartTag w:uri="urn:schemas-microsoft-com:office:smarttags" w:element="place">
        <w:r w:rsidRPr="00EE6ED6">
          <w:rPr>
            <w:sz w:val="24"/>
            <w:szCs w:val="24"/>
          </w:rPr>
          <w:t>Preston</w:t>
        </w:r>
      </w:smartTag>
      <w:r w:rsidRPr="00EE6ED6">
        <w:rPr>
          <w:sz w:val="24"/>
          <w:szCs w:val="24"/>
        </w:rPr>
        <w:t xml:space="preserve"> is a district within </w:t>
      </w:r>
      <w:smartTag w:uri="urn:schemas-microsoft-com:office:smarttags" w:element="place">
        <w:r w:rsidRPr="00EE6ED6">
          <w:rPr>
            <w:sz w:val="24"/>
            <w:szCs w:val="24"/>
          </w:rPr>
          <w:t>Lancashire</w:t>
        </w:r>
      </w:smartTag>
      <w:r w:rsidRPr="00EE6ED6">
        <w:rPr>
          <w:sz w:val="24"/>
          <w:szCs w:val="24"/>
        </w:rPr>
        <w:t xml:space="preserve">. The BHPS indicates a household is located in </w:t>
      </w:r>
      <w:smartTag w:uri="urn:schemas-microsoft-com:office:smarttags" w:element="place">
        <w:r w:rsidRPr="00EE6ED6">
          <w:rPr>
            <w:sz w:val="24"/>
            <w:szCs w:val="24"/>
          </w:rPr>
          <w:t>Preston</w:t>
        </w:r>
      </w:smartTag>
      <w:r w:rsidRPr="00EE6ED6">
        <w:rPr>
          <w:sz w:val="24"/>
          <w:szCs w:val="24"/>
        </w:rPr>
        <w:t xml:space="preserve"> via a 4-digit code, but house price data is only available for </w:t>
      </w:r>
      <w:smartTag w:uri="urn:schemas-microsoft-com:office:smarttags" w:element="place">
        <w:r w:rsidRPr="00EE6ED6">
          <w:rPr>
            <w:sz w:val="24"/>
            <w:szCs w:val="24"/>
          </w:rPr>
          <w:t>Lancashire</w:t>
        </w:r>
      </w:smartTag>
      <w:r>
        <w:rPr>
          <w:sz w:val="24"/>
          <w:szCs w:val="24"/>
        </w:rPr>
        <w:t xml:space="preserve"> as a whole.)We</w:t>
      </w:r>
      <w:r w:rsidRPr="00EE6ED6">
        <w:rPr>
          <w:sz w:val="24"/>
          <w:szCs w:val="24"/>
        </w:rPr>
        <w:t xml:space="preserve">’ve created a look-up file that matches all 376 districts and their codes to the 172 areas in the Land Registry data. This matching was conducted using the information provided at </w:t>
      </w:r>
      <w:hyperlink r:id="rId8" w:history="1">
        <w:r w:rsidRPr="00EE6ED6">
          <w:rPr>
            <w:rStyle w:val="Hyperlink"/>
            <w:sz w:val="24"/>
            <w:szCs w:val="24"/>
          </w:rPr>
          <w:t>http://en.wikipedia.org/wiki/ONS_coding_system</w:t>
        </w:r>
      </w:hyperlink>
      <w:r w:rsidRPr="00EE6ED6">
        <w:rPr>
          <w:sz w:val="24"/>
          <w:szCs w:val="24"/>
        </w:rPr>
        <w:t xml:space="preserve">. </w:t>
      </w:r>
    </w:p>
    <w:p w:rsidR="00EE6ED6" w:rsidRDefault="00EE6ED6" w:rsidP="00EE6ED6">
      <w:pPr>
        <w:numPr>
          <w:ilvl w:val="0"/>
          <w:numId w:val="2"/>
        </w:numPr>
        <w:rPr>
          <w:sz w:val="24"/>
          <w:szCs w:val="24"/>
        </w:rPr>
      </w:pPr>
      <w:r w:rsidRPr="00EE6ED6">
        <w:rPr>
          <w:sz w:val="24"/>
          <w:szCs w:val="24"/>
        </w:rPr>
        <w:t xml:space="preserve">The house price data are all in current prices. To deflate to real values we’ve downloaded monthly </w:t>
      </w:r>
      <w:smartTag w:uri="urn:schemas-microsoft-com:office:smarttags" w:element="stockticker">
        <w:r w:rsidRPr="00EE6ED6">
          <w:rPr>
            <w:sz w:val="24"/>
            <w:szCs w:val="24"/>
          </w:rPr>
          <w:t>RPI</w:t>
        </w:r>
      </w:smartTag>
      <w:r w:rsidRPr="00EE6ED6">
        <w:rPr>
          <w:sz w:val="24"/>
          <w:szCs w:val="24"/>
        </w:rPr>
        <w:t xml:space="preserve"> data from the ONS website. </w:t>
      </w:r>
    </w:p>
    <w:p w:rsidR="00D21DEB" w:rsidRDefault="00D21DEB" w:rsidP="00EE6ED6">
      <w:pPr>
        <w:numPr>
          <w:ilvl w:val="0"/>
          <w:numId w:val="2"/>
        </w:numPr>
        <w:rPr>
          <w:sz w:val="24"/>
          <w:szCs w:val="24"/>
        </w:rPr>
      </w:pPr>
      <w:r>
        <w:rPr>
          <w:sz w:val="24"/>
          <w:szCs w:val="24"/>
        </w:rPr>
        <w:t>The real house price variable used in this study is the average for the local authority in question over the interview month t-1 and the preceding 11 months.</w:t>
      </w:r>
    </w:p>
    <w:p w:rsidR="00501477" w:rsidRDefault="00501477">
      <w:pPr>
        <w:ind w:left="360"/>
        <w:rPr>
          <w:sz w:val="24"/>
          <w:szCs w:val="24"/>
        </w:rPr>
      </w:pPr>
    </w:p>
    <w:p w:rsidR="00BA1CB1" w:rsidRPr="00830920" w:rsidRDefault="00BA1CB1" w:rsidP="00830920">
      <w:pPr>
        <w:spacing w:line="480" w:lineRule="auto"/>
        <w:rPr>
          <w:sz w:val="24"/>
          <w:szCs w:val="24"/>
        </w:rPr>
      </w:pPr>
    </w:p>
    <w:p w:rsidR="006A440C" w:rsidRDefault="00954E83" w:rsidP="006A440C">
      <w:pPr>
        <w:spacing w:line="480" w:lineRule="auto"/>
        <w:jc w:val="center"/>
        <w:rPr>
          <w:sz w:val="24"/>
          <w:szCs w:val="24"/>
        </w:rPr>
      </w:pPr>
      <w:r>
        <w:rPr>
          <w:sz w:val="24"/>
          <w:szCs w:val="24"/>
        </w:rPr>
        <w:br w:type="page"/>
      </w:r>
      <w:r w:rsidR="006A440C">
        <w:rPr>
          <w:sz w:val="24"/>
          <w:szCs w:val="24"/>
        </w:rPr>
        <w:lastRenderedPageBreak/>
        <w:t>Appendix B: Descriptive Statistics</w:t>
      </w:r>
    </w:p>
    <w:p w:rsidR="00954E83" w:rsidRDefault="005D13FF" w:rsidP="00B62356">
      <w:pPr>
        <w:spacing w:line="480" w:lineRule="auto"/>
        <w:rPr>
          <w:sz w:val="24"/>
          <w:szCs w:val="24"/>
        </w:rPr>
      </w:pPr>
      <w:r>
        <w:rPr>
          <w:sz w:val="24"/>
          <w:szCs w:val="24"/>
        </w:rPr>
        <w:t xml:space="preserve">Table B1: </w:t>
      </w:r>
      <w:r w:rsidR="00954E83">
        <w:rPr>
          <w:sz w:val="24"/>
          <w:szCs w:val="24"/>
        </w:rPr>
        <w:t>Estimation sample</w:t>
      </w:r>
      <w:r w:rsidR="001C1AAA">
        <w:rPr>
          <w:sz w:val="24"/>
          <w:szCs w:val="24"/>
        </w:rPr>
        <w:t xml:space="preserve"> (N=3059)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99"/>
        <w:gridCol w:w="1704"/>
        <w:gridCol w:w="1705"/>
        <w:gridCol w:w="1705"/>
      </w:tblGrid>
      <w:tr w:rsidR="00466069" w:rsidRPr="00344499" w:rsidTr="00951495">
        <w:tc>
          <w:tcPr>
            <w:tcW w:w="1809" w:type="dxa"/>
            <w:vAlign w:val="bottom"/>
          </w:tcPr>
          <w:p w:rsidR="00466069" w:rsidRPr="00344499" w:rsidRDefault="00466069" w:rsidP="001C1AAA">
            <w:pPr>
              <w:rPr>
                <w:color w:val="000000"/>
                <w:sz w:val="24"/>
                <w:szCs w:val="24"/>
              </w:rPr>
            </w:pPr>
            <w:r w:rsidRPr="00344499">
              <w:rPr>
                <w:color w:val="000000"/>
                <w:sz w:val="24"/>
                <w:szCs w:val="24"/>
              </w:rPr>
              <w:t>Variable</w:t>
            </w:r>
          </w:p>
        </w:tc>
        <w:tc>
          <w:tcPr>
            <w:tcW w:w="1599" w:type="dxa"/>
            <w:vAlign w:val="bottom"/>
          </w:tcPr>
          <w:p w:rsidR="00466069" w:rsidRPr="00466069" w:rsidRDefault="00466069" w:rsidP="001C1AAA">
            <w:pPr>
              <w:jc w:val="center"/>
              <w:rPr>
                <w:b/>
                <w:color w:val="000000"/>
                <w:sz w:val="24"/>
                <w:szCs w:val="24"/>
              </w:rPr>
            </w:pPr>
            <w:r w:rsidRPr="00466069">
              <w:rPr>
                <w:color w:val="000000"/>
                <w:sz w:val="22"/>
                <w:szCs w:val="22"/>
              </w:rPr>
              <w:t>Mean</w:t>
            </w:r>
          </w:p>
        </w:tc>
        <w:tc>
          <w:tcPr>
            <w:tcW w:w="1704" w:type="dxa"/>
            <w:vAlign w:val="bottom"/>
          </w:tcPr>
          <w:p w:rsidR="00466069" w:rsidRPr="00466069" w:rsidRDefault="00466069" w:rsidP="001C1AAA">
            <w:pPr>
              <w:jc w:val="center"/>
              <w:rPr>
                <w:b/>
                <w:color w:val="000000"/>
                <w:sz w:val="24"/>
                <w:szCs w:val="24"/>
              </w:rPr>
            </w:pPr>
            <w:r w:rsidRPr="00466069">
              <w:rPr>
                <w:color w:val="000000"/>
                <w:sz w:val="22"/>
                <w:szCs w:val="22"/>
              </w:rPr>
              <w:t>Std. Dev.</w:t>
            </w:r>
          </w:p>
        </w:tc>
        <w:tc>
          <w:tcPr>
            <w:tcW w:w="1705" w:type="dxa"/>
            <w:vAlign w:val="bottom"/>
          </w:tcPr>
          <w:p w:rsidR="00466069" w:rsidRPr="00466069" w:rsidRDefault="00466069" w:rsidP="001C1AAA">
            <w:pPr>
              <w:jc w:val="center"/>
              <w:rPr>
                <w:b/>
                <w:color w:val="000000"/>
                <w:sz w:val="24"/>
                <w:szCs w:val="24"/>
              </w:rPr>
            </w:pPr>
            <w:r w:rsidRPr="00466069">
              <w:rPr>
                <w:color w:val="000000"/>
                <w:sz w:val="22"/>
                <w:szCs w:val="22"/>
              </w:rPr>
              <w:t>Min</w:t>
            </w:r>
          </w:p>
        </w:tc>
        <w:tc>
          <w:tcPr>
            <w:tcW w:w="1705" w:type="dxa"/>
            <w:vAlign w:val="bottom"/>
          </w:tcPr>
          <w:p w:rsidR="00466069" w:rsidRPr="00466069" w:rsidRDefault="00466069" w:rsidP="001C1AAA">
            <w:pPr>
              <w:jc w:val="center"/>
              <w:rPr>
                <w:b/>
                <w:color w:val="000000"/>
                <w:sz w:val="24"/>
                <w:szCs w:val="24"/>
              </w:rPr>
            </w:pPr>
            <w:r w:rsidRPr="00466069">
              <w:rPr>
                <w:color w:val="000000"/>
                <w:sz w:val="22"/>
                <w:szCs w:val="22"/>
              </w:rPr>
              <w:t>Max</w:t>
            </w:r>
          </w:p>
        </w:tc>
      </w:tr>
      <w:tr w:rsidR="00D66227" w:rsidRPr="00344499" w:rsidTr="00951495">
        <w:tc>
          <w:tcPr>
            <w:tcW w:w="1809" w:type="dxa"/>
            <w:vAlign w:val="bottom"/>
          </w:tcPr>
          <w:p w:rsidR="00D66227" w:rsidRPr="00344499" w:rsidRDefault="00D66227" w:rsidP="001C1AAA">
            <w:pPr>
              <w:rPr>
                <w:color w:val="000000"/>
                <w:sz w:val="24"/>
                <w:szCs w:val="24"/>
              </w:rPr>
            </w:pPr>
            <w:r>
              <w:rPr>
                <w:color w:val="000000"/>
                <w:sz w:val="24"/>
                <w:szCs w:val="24"/>
              </w:rPr>
              <w:t>Move</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0.179</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0.384</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w:t>
            </w:r>
          </w:p>
        </w:tc>
      </w:tr>
      <w:tr w:rsidR="00D66227" w:rsidRPr="00344499" w:rsidTr="00951495">
        <w:tc>
          <w:tcPr>
            <w:tcW w:w="1809" w:type="dxa"/>
            <w:vAlign w:val="bottom"/>
          </w:tcPr>
          <w:p w:rsidR="00D66227" w:rsidRPr="00344499" w:rsidRDefault="00D66227" w:rsidP="001C1AAA">
            <w:pPr>
              <w:rPr>
                <w:color w:val="000000"/>
                <w:sz w:val="24"/>
                <w:szCs w:val="24"/>
                <w:vertAlign w:val="subscript"/>
              </w:rPr>
            </w:pPr>
            <w:r w:rsidRPr="00344499">
              <w:rPr>
                <w:color w:val="000000"/>
                <w:sz w:val="24"/>
                <w:szCs w:val="24"/>
              </w:rPr>
              <w:t>q</w:t>
            </w:r>
            <w:r w:rsidRPr="00344499">
              <w:rPr>
                <w:color w:val="000000"/>
                <w:sz w:val="24"/>
                <w:szCs w:val="24"/>
                <w:vertAlign w:val="subscript"/>
              </w:rPr>
              <w:t>t-1</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0.431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0.232</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-0.386</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1.000</w:t>
            </w:r>
          </w:p>
        </w:tc>
      </w:tr>
      <w:tr w:rsidR="00D66227" w:rsidRPr="00344499" w:rsidTr="00951495">
        <w:tc>
          <w:tcPr>
            <w:tcW w:w="1809" w:type="dxa"/>
            <w:vAlign w:val="bottom"/>
          </w:tcPr>
          <w:p w:rsidR="00D66227" w:rsidRPr="00344499" w:rsidRDefault="00D66227" w:rsidP="001C1AAA">
            <w:pPr>
              <w:rPr>
                <w:color w:val="000000"/>
                <w:sz w:val="24"/>
                <w:szCs w:val="24"/>
              </w:rPr>
            </w:pPr>
            <w:r>
              <w:rPr>
                <w:color w:val="000000"/>
                <w:sz w:val="24"/>
                <w:szCs w:val="24"/>
              </w:rPr>
              <w:t>A</w:t>
            </w:r>
            <w:r w:rsidRPr="00344499">
              <w:rPr>
                <w:color w:val="000000"/>
                <w:sz w:val="24"/>
                <w:szCs w:val="24"/>
              </w:rPr>
              <w:t>ge</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33.968</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5.792</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44</w:t>
            </w:r>
          </w:p>
        </w:tc>
      </w:tr>
      <w:tr w:rsidR="00D66227" w:rsidRPr="00344499" w:rsidTr="00951495">
        <w:tc>
          <w:tcPr>
            <w:tcW w:w="1809" w:type="dxa"/>
            <w:vAlign w:val="bottom"/>
          </w:tcPr>
          <w:p w:rsidR="00D66227" w:rsidRPr="00344499" w:rsidRDefault="00D66227" w:rsidP="001C1AAA">
            <w:pPr>
              <w:rPr>
                <w:color w:val="000000"/>
                <w:sz w:val="24"/>
                <w:szCs w:val="24"/>
                <w:vertAlign w:val="subscript"/>
              </w:rPr>
            </w:pPr>
            <w:r w:rsidRPr="00344499">
              <w:rPr>
                <w:color w:val="000000"/>
                <w:sz w:val="24"/>
                <w:szCs w:val="24"/>
              </w:rPr>
              <w:t>Partner</w:t>
            </w:r>
            <w:r w:rsidRPr="00344499">
              <w:rPr>
                <w:color w:val="000000"/>
                <w:sz w:val="24"/>
                <w:szCs w:val="24"/>
                <w:vertAlign w:val="subscript"/>
              </w:rPr>
              <w:t>t-1</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0.827</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0.378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w:t>
            </w:r>
          </w:p>
        </w:tc>
      </w:tr>
      <w:tr w:rsidR="00466069" w:rsidRPr="00344499" w:rsidTr="00951495">
        <w:tc>
          <w:tcPr>
            <w:tcW w:w="1809" w:type="dxa"/>
            <w:vAlign w:val="bottom"/>
          </w:tcPr>
          <w:p w:rsidR="00466069" w:rsidRPr="00344499" w:rsidRDefault="00466069" w:rsidP="001C1AAA">
            <w:pPr>
              <w:rPr>
                <w:color w:val="000000"/>
                <w:sz w:val="24"/>
                <w:szCs w:val="24"/>
              </w:rPr>
            </w:pPr>
            <w:r w:rsidRPr="00344499">
              <w:rPr>
                <w:color w:val="000000"/>
                <w:sz w:val="24"/>
                <w:szCs w:val="24"/>
              </w:rPr>
              <w:t>Number of children aged:</w:t>
            </w:r>
          </w:p>
        </w:tc>
        <w:tc>
          <w:tcPr>
            <w:tcW w:w="1599" w:type="dxa"/>
            <w:vAlign w:val="bottom"/>
          </w:tcPr>
          <w:p w:rsidR="00466069" w:rsidRPr="00466069" w:rsidRDefault="00466069" w:rsidP="001C1AAA">
            <w:pPr>
              <w:jc w:val="center"/>
              <w:rPr>
                <w:color w:val="000000"/>
                <w:sz w:val="24"/>
                <w:szCs w:val="24"/>
              </w:rPr>
            </w:pPr>
          </w:p>
        </w:tc>
        <w:tc>
          <w:tcPr>
            <w:tcW w:w="1704" w:type="dxa"/>
            <w:vAlign w:val="bottom"/>
          </w:tcPr>
          <w:p w:rsidR="00466069" w:rsidRPr="00466069" w:rsidRDefault="00466069" w:rsidP="001C1AAA">
            <w:pPr>
              <w:jc w:val="center"/>
              <w:rPr>
                <w:color w:val="000000"/>
                <w:sz w:val="24"/>
                <w:szCs w:val="24"/>
              </w:rPr>
            </w:pPr>
          </w:p>
        </w:tc>
        <w:tc>
          <w:tcPr>
            <w:tcW w:w="1705" w:type="dxa"/>
            <w:vAlign w:val="bottom"/>
          </w:tcPr>
          <w:p w:rsidR="00466069" w:rsidRPr="00466069" w:rsidRDefault="00466069" w:rsidP="001C1AAA">
            <w:pPr>
              <w:jc w:val="center"/>
              <w:rPr>
                <w:color w:val="000000"/>
                <w:sz w:val="24"/>
                <w:szCs w:val="24"/>
              </w:rPr>
            </w:pPr>
          </w:p>
        </w:tc>
        <w:tc>
          <w:tcPr>
            <w:tcW w:w="1705" w:type="dxa"/>
            <w:vAlign w:val="bottom"/>
          </w:tcPr>
          <w:p w:rsidR="00466069" w:rsidRPr="00466069" w:rsidRDefault="00466069" w:rsidP="001C1AAA">
            <w:pPr>
              <w:jc w:val="center"/>
              <w:rPr>
                <w:color w:val="000000"/>
                <w:sz w:val="24"/>
                <w:szCs w:val="24"/>
              </w:rPr>
            </w:pP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color w:val="000000"/>
                <w:sz w:val="24"/>
                <w:szCs w:val="24"/>
              </w:rPr>
              <w:t>0-2</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0.174</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0.399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color w:val="000000"/>
                <w:sz w:val="24"/>
                <w:szCs w:val="24"/>
              </w:rPr>
              <w:t>3-4</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0.166</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0.390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color w:val="000000"/>
                <w:sz w:val="24"/>
                <w:szCs w:val="24"/>
              </w:rPr>
              <w:t>5-11</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0.477</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0.755</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4</w:t>
            </w: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color w:val="000000"/>
                <w:sz w:val="24"/>
                <w:szCs w:val="24"/>
              </w:rPr>
              <w:t>12-15</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0.168</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0.454</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3</w:t>
            </w: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color w:val="000000"/>
                <w:sz w:val="24"/>
                <w:szCs w:val="24"/>
              </w:rPr>
              <w:t>16-18</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0.026</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0.163</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466069" w:rsidRPr="00344499" w:rsidTr="00951495">
        <w:tc>
          <w:tcPr>
            <w:tcW w:w="1809" w:type="dxa"/>
            <w:vAlign w:val="bottom"/>
          </w:tcPr>
          <w:p w:rsidR="00466069" w:rsidRDefault="00466069" w:rsidP="001C1AAA">
            <w:pPr>
              <w:rPr>
                <w:color w:val="000000"/>
                <w:sz w:val="24"/>
                <w:szCs w:val="24"/>
              </w:rPr>
            </w:pPr>
            <w:r w:rsidRPr="00344499">
              <w:rPr>
                <w:color w:val="000000"/>
                <w:sz w:val="24"/>
                <w:szCs w:val="24"/>
              </w:rPr>
              <w:t>Mo. household income</w:t>
            </w:r>
            <w:r w:rsidRPr="00344499">
              <w:rPr>
                <w:color w:val="000000"/>
                <w:sz w:val="24"/>
                <w:szCs w:val="24"/>
                <w:vertAlign w:val="subscript"/>
              </w:rPr>
              <w:t>t-1</w:t>
            </w:r>
            <w:r w:rsidRPr="00344499">
              <w:rPr>
                <w:color w:val="000000"/>
                <w:sz w:val="24"/>
                <w:szCs w:val="24"/>
              </w:rPr>
              <w:t xml:space="preserve"> 000s</w:t>
            </w:r>
          </w:p>
          <w:p w:rsidR="003F5F52" w:rsidRPr="00344499" w:rsidRDefault="003F5F52" w:rsidP="001C1AAA">
            <w:pPr>
              <w:rPr>
                <w:color w:val="000000"/>
                <w:sz w:val="24"/>
                <w:szCs w:val="24"/>
              </w:rPr>
            </w:pPr>
            <w:r>
              <w:rPr>
                <w:color w:val="000000"/>
                <w:sz w:val="24"/>
                <w:szCs w:val="24"/>
              </w:rPr>
              <w:t>1991 prices</w:t>
            </w:r>
          </w:p>
        </w:tc>
        <w:tc>
          <w:tcPr>
            <w:tcW w:w="1599" w:type="dxa"/>
            <w:vAlign w:val="bottom"/>
          </w:tcPr>
          <w:p w:rsidR="00466069" w:rsidRPr="00466069" w:rsidRDefault="00466069" w:rsidP="001C1AAA">
            <w:pPr>
              <w:jc w:val="center"/>
              <w:rPr>
                <w:color w:val="000000"/>
                <w:sz w:val="24"/>
                <w:szCs w:val="24"/>
              </w:rPr>
            </w:pPr>
            <w:r w:rsidRPr="00466069">
              <w:rPr>
                <w:color w:val="000000"/>
                <w:sz w:val="22"/>
                <w:szCs w:val="22"/>
              </w:rPr>
              <w:t>2.407</w:t>
            </w:r>
          </w:p>
        </w:tc>
        <w:tc>
          <w:tcPr>
            <w:tcW w:w="1704" w:type="dxa"/>
            <w:vAlign w:val="bottom"/>
          </w:tcPr>
          <w:p w:rsidR="00466069" w:rsidRPr="00466069" w:rsidRDefault="00466069" w:rsidP="001C1AAA">
            <w:pPr>
              <w:jc w:val="center"/>
              <w:rPr>
                <w:color w:val="000000"/>
                <w:sz w:val="24"/>
                <w:szCs w:val="24"/>
              </w:rPr>
            </w:pPr>
            <w:r w:rsidRPr="00466069">
              <w:rPr>
                <w:color w:val="000000"/>
                <w:sz w:val="22"/>
                <w:szCs w:val="22"/>
              </w:rPr>
              <w:t>1.397</w:t>
            </w:r>
          </w:p>
        </w:tc>
        <w:tc>
          <w:tcPr>
            <w:tcW w:w="1705" w:type="dxa"/>
            <w:vAlign w:val="bottom"/>
          </w:tcPr>
          <w:p w:rsidR="00466069" w:rsidRPr="00466069" w:rsidRDefault="00466069" w:rsidP="001C1AAA">
            <w:pPr>
              <w:jc w:val="center"/>
              <w:rPr>
                <w:color w:val="000000"/>
                <w:sz w:val="24"/>
                <w:szCs w:val="24"/>
              </w:rPr>
            </w:pPr>
            <w:r>
              <w:rPr>
                <w:color w:val="000000"/>
                <w:sz w:val="22"/>
                <w:szCs w:val="22"/>
              </w:rPr>
              <w:t>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22.207</w:t>
            </w:r>
          </w:p>
        </w:tc>
      </w:tr>
      <w:tr w:rsidR="00466069" w:rsidRPr="00344499" w:rsidTr="00951495">
        <w:tc>
          <w:tcPr>
            <w:tcW w:w="1809" w:type="dxa"/>
            <w:vAlign w:val="bottom"/>
          </w:tcPr>
          <w:p w:rsidR="00466069" w:rsidRDefault="00466069" w:rsidP="001C1AAA">
            <w:pPr>
              <w:rPr>
                <w:color w:val="000000"/>
                <w:sz w:val="24"/>
                <w:szCs w:val="24"/>
              </w:rPr>
            </w:pPr>
            <w:r w:rsidRPr="00344499">
              <w:rPr>
                <w:color w:val="000000"/>
                <w:sz w:val="24"/>
                <w:szCs w:val="24"/>
              </w:rPr>
              <w:t>Positive change in inc</w:t>
            </w:r>
            <w:r w:rsidRPr="00344499">
              <w:rPr>
                <w:color w:val="000000"/>
                <w:sz w:val="24"/>
                <w:szCs w:val="24"/>
                <w:vertAlign w:val="subscript"/>
              </w:rPr>
              <w:t>t-1</w:t>
            </w:r>
          </w:p>
          <w:p w:rsidR="00951495" w:rsidRPr="00951495" w:rsidRDefault="00951495" w:rsidP="001C1AAA">
            <w:pPr>
              <w:rPr>
                <w:color w:val="000000"/>
                <w:sz w:val="24"/>
                <w:szCs w:val="24"/>
              </w:rPr>
            </w:pPr>
            <w:r w:rsidRPr="00344499">
              <w:rPr>
                <w:color w:val="000000"/>
                <w:sz w:val="24"/>
                <w:szCs w:val="24"/>
              </w:rPr>
              <w:t>000s</w:t>
            </w:r>
          </w:p>
        </w:tc>
        <w:tc>
          <w:tcPr>
            <w:tcW w:w="1599" w:type="dxa"/>
            <w:vAlign w:val="bottom"/>
          </w:tcPr>
          <w:p w:rsidR="00466069" w:rsidRPr="00466069" w:rsidRDefault="00466069" w:rsidP="001C1AAA">
            <w:pPr>
              <w:jc w:val="center"/>
              <w:rPr>
                <w:color w:val="000000"/>
                <w:sz w:val="24"/>
                <w:szCs w:val="24"/>
              </w:rPr>
            </w:pPr>
            <w:r w:rsidRPr="00466069">
              <w:rPr>
                <w:color w:val="000000"/>
                <w:sz w:val="22"/>
                <w:szCs w:val="22"/>
              </w:rPr>
              <w:t>0.323</w:t>
            </w:r>
          </w:p>
        </w:tc>
        <w:tc>
          <w:tcPr>
            <w:tcW w:w="1704" w:type="dxa"/>
            <w:vAlign w:val="bottom"/>
          </w:tcPr>
          <w:p w:rsidR="00466069" w:rsidRPr="00466069" w:rsidRDefault="00466069" w:rsidP="001C1AAA">
            <w:pPr>
              <w:jc w:val="center"/>
              <w:rPr>
                <w:color w:val="000000"/>
                <w:sz w:val="24"/>
                <w:szCs w:val="24"/>
              </w:rPr>
            </w:pPr>
            <w:r w:rsidRPr="00466069">
              <w:rPr>
                <w:color w:val="000000"/>
                <w:sz w:val="22"/>
                <w:szCs w:val="22"/>
              </w:rPr>
              <w:t>0.861</w:t>
            </w:r>
          </w:p>
        </w:tc>
        <w:tc>
          <w:tcPr>
            <w:tcW w:w="1705" w:type="dxa"/>
            <w:vAlign w:val="bottom"/>
          </w:tcPr>
          <w:p w:rsidR="00466069" w:rsidRPr="00466069" w:rsidRDefault="00466069" w:rsidP="001C1AAA">
            <w:pPr>
              <w:jc w:val="center"/>
              <w:rPr>
                <w:color w:val="000000"/>
                <w:sz w:val="24"/>
                <w:szCs w:val="24"/>
              </w:rPr>
            </w:pPr>
            <w:r>
              <w:rPr>
                <w:color w:val="000000"/>
                <w:sz w:val="22"/>
                <w:szCs w:val="22"/>
              </w:rPr>
              <w:t>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17.990</w:t>
            </w:r>
          </w:p>
        </w:tc>
      </w:tr>
      <w:tr w:rsidR="00466069" w:rsidRPr="00344499" w:rsidTr="00951495">
        <w:tc>
          <w:tcPr>
            <w:tcW w:w="1809" w:type="dxa"/>
            <w:vAlign w:val="bottom"/>
          </w:tcPr>
          <w:p w:rsidR="00466069" w:rsidRDefault="00466069" w:rsidP="001C1AAA">
            <w:pPr>
              <w:rPr>
                <w:color w:val="000000"/>
                <w:sz w:val="24"/>
                <w:szCs w:val="24"/>
              </w:rPr>
            </w:pPr>
            <w:r w:rsidRPr="00344499">
              <w:rPr>
                <w:color w:val="000000"/>
                <w:sz w:val="24"/>
                <w:szCs w:val="24"/>
              </w:rPr>
              <w:t>Negative change in inc</w:t>
            </w:r>
            <w:r w:rsidRPr="00344499">
              <w:rPr>
                <w:color w:val="000000"/>
                <w:sz w:val="24"/>
                <w:szCs w:val="24"/>
                <w:vertAlign w:val="subscript"/>
              </w:rPr>
              <w:t>t-1</w:t>
            </w:r>
          </w:p>
          <w:p w:rsidR="00951495" w:rsidRPr="00951495" w:rsidRDefault="00951495" w:rsidP="001C1AAA">
            <w:pPr>
              <w:rPr>
                <w:color w:val="000000"/>
                <w:sz w:val="24"/>
                <w:szCs w:val="24"/>
              </w:rPr>
            </w:pPr>
            <w:r w:rsidRPr="00344499">
              <w:rPr>
                <w:color w:val="000000"/>
                <w:sz w:val="24"/>
                <w:szCs w:val="24"/>
              </w:rPr>
              <w:t>000s</w:t>
            </w:r>
          </w:p>
        </w:tc>
        <w:tc>
          <w:tcPr>
            <w:tcW w:w="1599" w:type="dxa"/>
            <w:vAlign w:val="bottom"/>
          </w:tcPr>
          <w:p w:rsidR="00466069" w:rsidRPr="00466069" w:rsidRDefault="00466069" w:rsidP="001C1AAA">
            <w:pPr>
              <w:jc w:val="center"/>
              <w:rPr>
                <w:color w:val="000000"/>
                <w:sz w:val="24"/>
                <w:szCs w:val="24"/>
              </w:rPr>
            </w:pPr>
            <w:r w:rsidRPr="00466069">
              <w:rPr>
                <w:color w:val="000000"/>
                <w:sz w:val="22"/>
                <w:szCs w:val="22"/>
              </w:rPr>
              <w:t>0.272</w:t>
            </w:r>
          </w:p>
        </w:tc>
        <w:tc>
          <w:tcPr>
            <w:tcW w:w="1704" w:type="dxa"/>
            <w:vAlign w:val="bottom"/>
          </w:tcPr>
          <w:p w:rsidR="00466069" w:rsidRPr="00466069" w:rsidRDefault="00466069" w:rsidP="001C1AAA">
            <w:pPr>
              <w:jc w:val="center"/>
              <w:rPr>
                <w:color w:val="000000"/>
                <w:sz w:val="24"/>
                <w:szCs w:val="24"/>
              </w:rPr>
            </w:pPr>
            <w:r w:rsidRPr="00466069">
              <w:rPr>
                <w:color w:val="000000"/>
                <w:sz w:val="22"/>
                <w:szCs w:val="22"/>
              </w:rPr>
              <w:t>0.825</w:t>
            </w:r>
          </w:p>
        </w:tc>
        <w:tc>
          <w:tcPr>
            <w:tcW w:w="1705" w:type="dxa"/>
            <w:vAlign w:val="bottom"/>
          </w:tcPr>
          <w:p w:rsidR="00466069" w:rsidRPr="00466069" w:rsidRDefault="00466069" w:rsidP="001C1AAA">
            <w:pPr>
              <w:jc w:val="center"/>
              <w:rPr>
                <w:color w:val="000000"/>
                <w:sz w:val="24"/>
                <w:szCs w:val="24"/>
              </w:rPr>
            </w:pPr>
            <w:r>
              <w:rPr>
                <w:color w:val="000000"/>
                <w:sz w:val="22"/>
                <w:szCs w:val="22"/>
              </w:rPr>
              <w:t>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17.076</w:t>
            </w:r>
          </w:p>
        </w:tc>
      </w:tr>
      <w:tr w:rsidR="00466069" w:rsidRPr="00344499" w:rsidTr="00951495">
        <w:tc>
          <w:tcPr>
            <w:tcW w:w="1809" w:type="dxa"/>
            <w:vAlign w:val="bottom"/>
          </w:tcPr>
          <w:p w:rsidR="00466069" w:rsidRPr="00344499" w:rsidRDefault="00466069" w:rsidP="001C1AAA">
            <w:pPr>
              <w:rPr>
                <w:color w:val="000000"/>
                <w:sz w:val="24"/>
                <w:szCs w:val="24"/>
              </w:rPr>
            </w:pPr>
            <w:r w:rsidRPr="00344499">
              <w:rPr>
                <w:color w:val="000000"/>
                <w:sz w:val="24"/>
                <w:szCs w:val="24"/>
              </w:rPr>
              <w:t xml:space="preserve">Positive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599" w:type="dxa"/>
            <w:vAlign w:val="bottom"/>
          </w:tcPr>
          <w:p w:rsidR="00466069" w:rsidRPr="00466069" w:rsidRDefault="00466069" w:rsidP="001C1AAA">
            <w:pPr>
              <w:jc w:val="center"/>
              <w:rPr>
                <w:color w:val="000000"/>
                <w:sz w:val="24"/>
                <w:szCs w:val="24"/>
              </w:rPr>
            </w:pPr>
            <w:r w:rsidRPr="00466069">
              <w:rPr>
                <w:color w:val="000000"/>
                <w:sz w:val="22"/>
                <w:szCs w:val="22"/>
              </w:rPr>
              <w:t>0.121</w:t>
            </w:r>
          </w:p>
        </w:tc>
        <w:tc>
          <w:tcPr>
            <w:tcW w:w="1704" w:type="dxa"/>
            <w:vAlign w:val="bottom"/>
          </w:tcPr>
          <w:p w:rsidR="00466069" w:rsidRPr="00466069" w:rsidRDefault="00466069" w:rsidP="001C1AAA">
            <w:pPr>
              <w:jc w:val="center"/>
              <w:rPr>
                <w:color w:val="000000"/>
                <w:sz w:val="24"/>
                <w:szCs w:val="24"/>
              </w:rPr>
            </w:pPr>
            <w:r w:rsidRPr="00466069">
              <w:rPr>
                <w:color w:val="000000"/>
                <w:sz w:val="22"/>
                <w:szCs w:val="22"/>
              </w:rPr>
              <w:t>0.350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5</w:t>
            </w:r>
          </w:p>
        </w:tc>
      </w:tr>
      <w:tr w:rsidR="00466069" w:rsidRPr="00344499" w:rsidTr="00951495">
        <w:tc>
          <w:tcPr>
            <w:tcW w:w="1809" w:type="dxa"/>
            <w:vAlign w:val="bottom"/>
          </w:tcPr>
          <w:p w:rsidR="00466069" w:rsidRPr="00344499" w:rsidRDefault="00466069" w:rsidP="001C1AAA">
            <w:pPr>
              <w:rPr>
                <w:color w:val="000000"/>
                <w:sz w:val="24"/>
                <w:szCs w:val="24"/>
                <w:vertAlign w:val="subscript"/>
              </w:rPr>
            </w:pPr>
            <w:r w:rsidRPr="00344499">
              <w:rPr>
                <w:color w:val="000000"/>
                <w:sz w:val="24"/>
                <w:szCs w:val="24"/>
              </w:rPr>
              <w:t xml:space="preserve">Negative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599" w:type="dxa"/>
            <w:vAlign w:val="bottom"/>
          </w:tcPr>
          <w:p w:rsidR="00466069" w:rsidRPr="00466069" w:rsidRDefault="00466069" w:rsidP="001C1AAA">
            <w:pPr>
              <w:jc w:val="center"/>
              <w:rPr>
                <w:color w:val="000000"/>
                <w:sz w:val="24"/>
                <w:szCs w:val="24"/>
              </w:rPr>
            </w:pPr>
            <w:r w:rsidRPr="00466069">
              <w:rPr>
                <w:color w:val="000000"/>
                <w:sz w:val="22"/>
                <w:szCs w:val="22"/>
              </w:rPr>
              <w:t>0.095</w:t>
            </w:r>
          </w:p>
        </w:tc>
        <w:tc>
          <w:tcPr>
            <w:tcW w:w="1704" w:type="dxa"/>
            <w:vAlign w:val="bottom"/>
          </w:tcPr>
          <w:p w:rsidR="00466069" w:rsidRPr="00466069" w:rsidRDefault="00466069" w:rsidP="001C1AAA">
            <w:pPr>
              <w:jc w:val="center"/>
              <w:rPr>
                <w:color w:val="000000"/>
                <w:sz w:val="24"/>
                <w:szCs w:val="24"/>
              </w:rPr>
            </w:pPr>
            <w:r w:rsidRPr="00466069">
              <w:rPr>
                <w:color w:val="000000"/>
                <w:sz w:val="22"/>
                <w:szCs w:val="22"/>
              </w:rPr>
              <w:t>0.411</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0</w:t>
            </w:r>
          </w:p>
        </w:tc>
        <w:tc>
          <w:tcPr>
            <w:tcW w:w="1705" w:type="dxa"/>
            <w:vAlign w:val="bottom"/>
          </w:tcPr>
          <w:p w:rsidR="00466069" w:rsidRPr="00466069" w:rsidRDefault="00466069" w:rsidP="001C1AAA">
            <w:pPr>
              <w:jc w:val="center"/>
              <w:rPr>
                <w:color w:val="000000"/>
                <w:sz w:val="24"/>
                <w:szCs w:val="24"/>
              </w:rPr>
            </w:pPr>
            <w:r w:rsidRPr="00466069">
              <w:rPr>
                <w:color w:val="000000"/>
                <w:sz w:val="22"/>
                <w:szCs w:val="22"/>
              </w:rPr>
              <w:t>6</w:t>
            </w:r>
          </w:p>
        </w:tc>
      </w:tr>
      <w:tr w:rsidR="003F5F52" w:rsidRPr="00344499" w:rsidTr="00951495">
        <w:tc>
          <w:tcPr>
            <w:tcW w:w="1809" w:type="dxa"/>
            <w:vAlign w:val="bottom"/>
          </w:tcPr>
          <w:p w:rsidR="003F5F52" w:rsidRPr="00951495" w:rsidRDefault="003F5F52" w:rsidP="001C1AAA">
            <w:pPr>
              <w:rPr>
                <w:color w:val="000000"/>
                <w:sz w:val="24"/>
                <w:szCs w:val="24"/>
              </w:rPr>
            </w:pPr>
            <w:r w:rsidRPr="00344499">
              <w:rPr>
                <w:color w:val="000000"/>
                <w:sz w:val="24"/>
                <w:szCs w:val="24"/>
              </w:rPr>
              <w:t>Res.tenure</w:t>
            </w:r>
            <w:r w:rsidRPr="00344499">
              <w:rPr>
                <w:color w:val="000000"/>
                <w:sz w:val="24"/>
                <w:szCs w:val="24"/>
                <w:vertAlign w:val="subscript"/>
              </w:rPr>
              <w:t>t-1</w:t>
            </w:r>
            <w:r w:rsidR="00951495">
              <w:rPr>
                <w:color w:val="000000"/>
                <w:sz w:val="24"/>
                <w:szCs w:val="24"/>
              </w:rPr>
              <w:t xml:space="preserve"> yrs.</w:t>
            </w:r>
          </w:p>
        </w:tc>
        <w:tc>
          <w:tcPr>
            <w:tcW w:w="1599" w:type="dxa"/>
            <w:vAlign w:val="bottom"/>
          </w:tcPr>
          <w:p w:rsidR="003F5F52" w:rsidRPr="00466069" w:rsidRDefault="003F5F52" w:rsidP="0026743C">
            <w:pPr>
              <w:jc w:val="center"/>
              <w:rPr>
                <w:color w:val="000000"/>
                <w:sz w:val="24"/>
                <w:szCs w:val="24"/>
              </w:rPr>
            </w:pPr>
            <w:r w:rsidRPr="00466069">
              <w:rPr>
                <w:color w:val="000000"/>
                <w:sz w:val="22"/>
                <w:szCs w:val="22"/>
              </w:rPr>
              <w:t>4.078</w:t>
            </w:r>
          </w:p>
        </w:tc>
        <w:tc>
          <w:tcPr>
            <w:tcW w:w="1704" w:type="dxa"/>
            <w:vAlign w:val="bottom"/>
          </w:tcPr>
          <w:p w:rsidR="003F5F52" w:rsidRPr="00466069" w:rsidRDefault="003F5F52" w:rsidP="0026743C">
            <w:pPr>
              <w:jc w:val="center"/>
              <w:rPr>
                <w:color w:val="000000"/>
                <w:sz w:val="24"/>
                <w:szCs w:val="24"/>
              </w:rPr>
            </w:pPr>
            <w:r w:rsidRPr="00466069">
              <w:rPr>
                <w:color w:val="000000"/>
                <w:sz w:val="22"/>
                <w:szCs w:val="22"/>
              </w:rPr>
              <w:t>3.767</w:t>
            </w:r>
          </w:p>
        </w:tc>
        <w:tc>
          <w:tcPr>
            <w:tcW w:w="1705" w:type="dxa"/>
            <w:vAlign w:val="bottom"/>
          </w:tcPr>
          <w:p w:rsidR="003F5F52" w:rsidRPr="00466069" w:rsidRDefault="003F5F52" w:rsidP="0026743C">
            <w:pPr>
              <w:jc w:val="center"/>
              <w:rPr>
                <w:color w:val="000000"/>
                <w:sz w:val="24"/>
                <w:szCs w:val="24"/>
              </w:rPr>
            </w:pPr>
            <w:r w:rsidRPr="00466069">
              <w:rPr>
                <w:color w:val="000000"/>
                <w:sz w:val="22"/>
                <w:szCs w:val="22"/>
              </w:rPr>
              <w:t>0</w:t>
            </w:r>
          </w:p>
        </w:tc>
        <w:tc>
          <w:tcPr>
            <w:tcW w:w="1705" w:type="dxa"/>
            <w:vAlign w:val="bottom"/>
          </w:tcPr>
          <w:p w:rsidR="003F5F52" w:rsidRPr="00466069" w:rsidRDefault="003F5F52" w:rsidP="0026743C">
            <w:pPr>
              <w:jc w:val="center"/>
              <w:rPr>
                <w:color w:val="000000"/>
                <w:sz w:val="24"/>
                <w:szCs w:val="24"/>
              </w:rPr>
            </w:pPr>
            <w:r w:rsidRPr="00466069">
              <w:rPr>
                <w:color w:val="000000"/>
                <w:sz w:val="22"/>
                <w:szCs w:val="22"/>
              </w:rPr>
              <w:t>26.292</w:t>
            </w:r>
          </w:p>
        </w:tc>
      </w:tr>
      <w:tr w:rsidR="00D66227" w:rsidRPr="00344499" w:rsidTr="00951495">
        <w:tc>
          <w:tcPr>
            <w:tcW w:w="1809" w:type="dxa"/>
            <w:vAlign w:val="bottom"/>
          </w:tcPr>
          <w:p w:rsidR="00D66227" w:rsidRPr="00344499" w:rsidRDefault="00D66227" w:rsidP="001C1AAA">
            <w:pPr>
              <w:rPr>
                <w:color w:val="000000"/>
                <w:sz w:val="24"/>
                <w:szCs w:val="24"/>
              </w:rPr>
            </w:pPr>
            <w:r w:rsidRPr="00344499">
              <w:rPr>
                <w:sz w:val="24"/>
                <w:szCs w:val="24"/>
              </w:rPr>
              <w:t>Log(real LA house price</w:t>
            </w:r>
            <w:r w:rsidRPr="00344499">
              <w:rPr>
                <w:sz w:val="24"/>
                <w:szCs w:val="24"/>
                <w:vertAlign w:val="subscript"/>
              </w:rPr>
              <w:t>t-1</w:t>
            </w:r>
            <w:r w:rsidRPr="00344499">
              <w:rPr>
                <w:sz w:val="24"/>
                <w:szCs w:val="24"/>
              </w:rPr>
              <w:t>)</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11.465</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0.441</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10.465</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12.788</w:t>
            </w:r>
          </w:p>
        </w:tc>
      </w:tr>
      <w:tr w:rsidR="00D66227" w:rsidRPr="00344499" w:rsidTr="00951495">
        <w:tc>
          <w:tcPr>
            <w:tcW w:w="1809" w:type="dxa"/>
            <w:vAlign w:val="bottom"/>
          </w:tcPr>
          <w:p w:rsidR="00D66227" w:rsidRPr="00344499" w:rsidRDefault="00D66227" w:rsidP="001C1AAA">
            <w:pPr>
              <w:rPr>
                <w:color w:val="000000"/>
                <w:sz w:val="24"/>
                <w:szCs w:val="24"/>
                <w:vertAlign w:val="subscript"/>
              </w:rPr>
            </w:pPr>
            <w:r w:rsidRPr="00344499">
              <w:rPr>
                <w:color w:val="000000"/>
                <w:sz w:val="24"/>
                <w:szCs w:val="24"/>
              </w:rPr>
              <w:t>LA unemployment rate</w:t>
            </w:r>
            <w:r w:rsidRPr="00344499">
              <w:rPr>
                <w:color w:val="000000"/>
                <w:sz w:val="24"/>
                <w:szCs w:val="24"/>
                <w:vertAlign w:val="subscript"/>
              </w:rPr>
              <w:t>t-1</w:t>
            </w:r>
          </w:p>
        </w:tc>
        <w:tc>
          <w:tcPr>
            <w:tcW w:w="1599" w:type="dxa"/>
            <w:vAlign w:val="bottom"/>
          </w:tcPr>
          <w:p w:rsidR="00D66227" w:rsidRPr="00D66227" w:rsidRDefault="00D66227" w:rsidP="00D66227">
            <w:pPr>
              <w:jc w:val="center"/>
              <w:rPr>
                <w:color w:val="000000"/>
                <w:sz w:val="22"/>
                <w:szCs w:val="22"/>
              </w:rPr>
            </w:pPr>
            <w:r w:rsidRPr="00D66227">
              <w:rPr>
                <w:color w:val="000000"/>
                <w:sz w:val="22"/>
                <w:szCs w:val="22"/>
              </w:rPr>
              <w:t>2.837</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1.789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0.417</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13.750</w:t>
            </w:r>
          </w:p>
        </w:tc>
      </w:tr>
    </w:tbl>
    <w:p w:rsidR="00466069" w:rsidRDefault="00466069" w:rsidP="00B62356">
      <w:pPr>
        <w:spacing w:line="480" w:lineRule="auto"/>
        <w:rPr>
          <w:sz w:val="24"/>
          <w:szCs w:val="24"/>
        </w:rPr>
      </w:pPr>
    </w:p>
    <w:p w:rsidR="006F2760" w:rsidRDefault="006F2760">
      <w:pPr>
        <w:rPr>
          <w:b/>
          <w:sz w:val="24"/>
          <w:szCs w:val="24"/>
        </w:rPr>
      </w:pPr>
      <w:r>
        <w:rPr>
          <w:b/>
          <w:sz w:val="24"/>
          <w:szCs w:val="24"/>
        </w:rPr>
        <w:br w:type="page"/>
      </w:r>
    </w:p>
    <w:p w:rsidR="0096552B" w:rsidRPr="0096552B" w:rsidRDefault="0096552B" w:rsidP="00B62356">
      <w:pPr>
        <w:spacing w:line="480" w:lineRule="auto"/>
        <w:rPr>
          <w:b/>
          <w:sz w:val="24"/>
          <w:szCs w:val="24"/>
        </w:rPr>
      </w:pPr>
    </w:p>
    <w:p w:rsidR="00522D30" w:rsidRDefault="00522D30" w:rsidP="00B62356">
      <w:pPr>
        <w:spacing w:line="480" w:lineRule="auto"/>
        <w:rPr>
          <w:b/>
          <w:sz w:val="24"/>
          <w:szCs w:val="24"/>
        </w:rPr>
      </w:pPr>
    </w:p>
    <w:p w:rsidR="006A440C" w:rsidRDefault="005D13FF" w:rsidP="00522D30">
      <w:pPr>
        <w:rPr>
          <w:sz w:val="24"/>
          <w:szCs w:val="24"/>
        </w:rPr>
      </w:pPr>
      <w:r>
        <w:rPr>
          <w:sz w:val="24"/>
          <w:szCs w:val="24"/>
        </w:rPr>
        <w:t xml:space="preserve">Table B2: </w:t>
      </w:r>
      <w:r w:rsidR="006A440C">
        <w:rPr>
          <w:sz w:val="24"/>
          <w:szCs w:val="24"/>
        </w:rPr>
        <w:t>Sample including non-movers and those only observed moving</w:t>
      </w:r>
      <w:r w:rsidR="00D66227">
        <w:rPr>
          <w:sz w:val="24"/>
          <w:szCs w:val="24"/>
        </w:rPr>
        <w:t xml:space="preserve"> (N=6912</w:t>
      </w:r>
      <w:r w:rsidR="001C1AAA">
        <w:rPr>
          <w:sz w:val="24"/>
          <w:szCs w:val="24"/>
        </w:rPr>
        <w:t>)</w:t>
      </w:r>
    </w:p>
    <w:p w:rsidR="001C1AAA" w:rsidRDefault="001C1AAA" w:rsidP="00522D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1C1AAA" w:rsidRPr="00344499" w:rsidTr="001C1AAA">
        <w:tc>
          <w:tcPr>
            <w:tcW w:w="1704" w:type="dxa"/>
            <w:vAlign w:val="bottom"/>
          </w:tcPr>
          <w:p w:rsidR="001C1AAA" w:rsidRPr="00344499" w:rsidRDefault="001C1AAA" w:rsidP="001C1AAA">
            <w:pPr>
              <w:rPr>
                <w:color w:val="000000"/>
                <w:sz w:val="24"/>
                <w:szCs w:val="24"/>
              </w:rPr>
            </w:pPr>
            <w:r w:rsidRPr="00344499">
              <w:rPr>
                <w:color w:val="000000"/>
                <w:sz w:val="24"/>
                <w:szCs w:val="24"/>
              </w:rPr>
              <w:t>Variable</w:t>
            </w:r>
          </w:p>
        </w:tc>
        <w:tc>
          <w:tcPr>
            <w:tcW w:w="1704" w:type="dxa"/>
            <w:vAlign w:val="bottom"/>
          </w:tcPr>
          <w:p w:rsidR="001C1AAA" w:rsidRPr="00466069" w:rsidRDefault="001C1AAA" w:rsidP="001C1AAA">
            <w:pPr>
              <w:jc w:val="center"/>
              <w:rPr>
                <w:b/>
                <w:color w:val="000000"/>
                <w:sz w:val="24"/>
                <w:szCs w:val="24"/>
              </w:rPr>
            </w:pPr>
            <w:r w:rsidRPr="00466069">
              <w:rPr>
                <w:color w:val="000000"/>
                <w:sz w:val="22"/>
                <w:szCs w:val="22"/>
              </w:rPr>
              <w:t>Mean</w:t>
            </w:r>
          </w:p>
        </w:tc>
        <w:tc>
          <w:tcPr>
            <w:tcW w:w="1704" w:type="dxa"/>
            <w:vAlign w:val="bottom"/>
          </w:tcPr>
          <w:p w:rsidR="001C1AAA" w:rsidRPr="00466069" w:rsidRDefault="001C1AAA" w:rsidP="001C1AAA">
            <w:pPr>
              <w:jc w:val="center"/>
              <w:rPr>
                <w:b/>
                <w:color w:val="000000"/>
                <w:sz w:val="24"/>
                <w:szCs w:val="24"/>
              </w:rPr>
            </w:pPr>
            <w:r w:rsidRPr="00466069">
              <w:rPr>
                <w:color w:val="000000"/>
                <w:sz w:val="22"/>
                <w:szCs w:val="22"/>
              </w:rPr>
              <w:t>Std. Dev.</w:t>
            </w:r>
          </w:p>
        </w:tc>
        <w:tc>
          <w:tcPr>
            <w:tcW w:w="1705" w:type="dxa"/>
            <w:vAlign w:val="bottom"/>
          </w:tcPr>
          <w:p w:rsidR="001C1AAA" w:rsidRPr="00466069" w:rsidRDefault="001C1AAA" w:rsidP="001C1AAA">
            <w:pPr>
              <w:jc w:val="center"/>
              <w:rPr>
                <w:b/>
                <w:color w:val="000000"/>
                <w:sz w:val="24"/>
                <w:szCs w:val="24"/>
              </w:rPr>
            </w:pPr>
            <w:r w:rsidRPr="00466069">
              <w:rPr>
                <w:color w:val="000000"/>
                <w:sz w:val="22"/>
                <w:szCs w:val="22"/>
              </w:rPr>
              <w:t>Min</w:t>
            </w:r>
          </w:p>
        </w:tc>
        <w:tc>
          <w:tcPr>
            <w:tcW w:w="1705" w:type="dxa"/>
            <w:vAlign w:val="bottom"/>
          </w:tcPr>
          <w:p w:rsidR="001C1AAA" w:rsidRPr="00466069" w:rsidRDefault="001C1AAA" w:rsidP="001C1AAA">
            <w:pPr>
              <w:jc w:val="center"/>
              <w:rPr>
                <w:b/>
                <w:color w:val="000000"/>
                <w:sz w:val="24"/>
                <w:szCs w:val="24"/>
              </w:rPr>
            </w:pPr>
            <w:r w:rsidRPr="00466069">
              <w:rPr>
                <w:color w:val="000000"/>
                <w:sz w:val="22"/>
                <w:szCs w:val="22"/>
              </w:rPr>
              <w:t>Max</w:t>
            </w:r>
          </w:p>
        </w:tc>
      </w:tr>
      <w:tr w:rsidR="00D66227" w:rsidRPr="00344499" w:rsidTr="001C1AAA">
        <w:tc>
          <w:tcPr>
            <w:tcW w:w="1704" w:type="dxa"/>
            <w:vAlign w:val="bottom"/>
          </w:tcPr>
          <w:p w:rsidR="00D66227" w:rsidRPr="00344499" w:rsidRDefault="00D66227" w:rsidP="001C1AAA">
            <w:pPr>
              <w:rPr>
                <w:color w:val="000000"/>
                <w:sz w:val="24"/>
                <w:szCs w:val="24"/>
              </w:rPr>
            </w:pPr>
            <w:r>
              <w:rPr>
                <w:color w:val="000000"/>
                <w:sz w:val="24"/>
                <w:szCs w:val="24"/>
              </w:rPr>
              <w:t>Move</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0.084</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0.278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w:t>
            </w:r>
          </w:p>
        </w:tc>
      </w:tr>
      <w:tr w:rsidR="00D66227" w:rsidRPr="00344499" w:rsidTr="001C1AAA">
        <w:tc>
          <w:tcPr>
            <w:tcW w:w="1704" w:type="dxa"/>
            <w:vAlign w:val="bottom"/>
          </w:tcPr>
          <w:p w:rsidR="00D66227" w:rsidRPr="00344499" w:rsidRDefault="00D66227" w:rsidP="001C1AAA">
            <w:pPr>
              <w:rPr>
                <w:color w:val="000000"/>
                <w:sz w:val="24"/>
                <w:szCs w:val="24"/>
                <w:vertAlign w:val="subscript"/>
              </w:rPr>
            </w:pPr>
            <w:r w:rsidRPr="00344499">
              <w:rPr>
                <w:color w:val="000000"/>
                <w:sz w:val="24"/>
                <w:szCs w:val="24"/>
              </w:rPr>
              <w:t>q</w:t>
            </w:r>
            <w:r w:rsidRPr="00344499">
              <w:rPr>
                <w:color w:val="000000"/>
                <w:sz w:val="24"/>
                <w:szCs w:val="24"/>
                <w:vertAlign w:val="subscript"/>
              </w:rPr>
              <w:t>t-1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0.461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0.238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-0.481</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1.000</w:t>
            </w:r>
          </w:p>
        </w:tc>
      </w:tr>
      <w:tr w:rsidR="00D66227" w:rsidRPr="00344499" w:rsidTr="001C1AAA">
        <w:tc>
          <w:tcPr>
            <w:tcW w:w="1704" w:type="dxa"/>
            <w:vAlign w:val="bottom"/>
          </w:tcPr>
          <w:p w:rsidR="00D66227" w:rsidRPr="00344499" w:rsidRDefault="00D66227" w:rsidP="001C1AAA">
            <w:pPr>
              <w:rPr>
                <w:color w:val="000000"/>
                <w:sz w:val="24"/>
                <w:szCs w:val="24"/>
              </w:rPr>
            </w:pPr>
            <w:r>
              <w:rPr>
                <w:color w:val="000000"/>
                <w:sz w:val="24"/>
                <w:szCs w:val="24"/>
              </w:rPr>
              <w:t>A</w:t>
            </w:r>
            <w:r w:rsidRPr="00344499">
              <w:rPr>
                <w:color w:val="000000"/>
                <w:sz w:val="24"/>
                <w:szCs w:val="24"/>
              </w:rPr>
              <w:t>ge</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35.528</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5.814</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44</w:t>
            </w:r>
          </w:p>
        </w:tc>
      </w:tr>
      <w:tr w:rsidR="00D66227" w:rsidRPr="00344499" w:rsidTr="001C1AAA">
        <w:tc>
          <w:tcPr>
            <w:tcW w:w="1704" w:type="dxa"/>
            <w:vAlign w:val="bottom"/>
          </w:tcPr>
          <w:p w:rsidR="00D66227" w:rsidRPr="00344499" w:rsidRDefault="00D66227" w:rsidP="001C1AAA">
            <w:pPr>
              <w:rPr>
                <w:color w:val="000000"/>
                <w:sz w:val="24"/>
                <w:szCs w:val="24"/>
                <w:vertAlign w:val="subscript"/>
              </w:rPr>
            </w:pPr>
            <w:r w:rsidRPr="00344499">
              <w:rPr>
                <w:color w:val="000000"/>
                <w:sz w:val="24"/>
                <w:szCs w:val="24"/>
              </w:rPr>
              <w:t>Partner</w:t>
            </w:r>
            <w:r w:rsidRPr="00344499">
              <w:rPr>
                <w:color w:val="000000"/>
                <w:sz w:val="24"/>
                <w:szCs w:val="24"/>
                <w:vertAlign w:val="subscript"/>
              </w:rPr>
              <w:t>t-1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0.853</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0.355</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w:t>
            </w:r>
          </w:p>
        </w:tc>
      </w:tr>
      <w:tr w:rsidR="007B7877" w:rsidRPr="00344499" w:rsidTr="001C1AAA">
        <w:tc>
          <w:tcPr>
            <w:tcW w:w="1704" w:type="dxa"/>
            <w:vAlign w:val="bottom"/>
          </w:tcPr>
          <w:p w:rsidR="007B7877" w:rsidRPr="00344499" w:rsidRDefault="007B7877" w:rsidP="001C1AAA">
            <w:pPr>
              <w:rPr>
                <w:color w:val="000000"/>
                <w:sz w:val="24"/>
                <w:szCs w:val="24"/>
              </w:rPr>
            </w:pPr>
            <w:r w:rsidRPr="00344499">
              <w:rPr>
                <w:color w:val="000000"/>
                <w:sz w:val="24"/>
                <w:szCs w:val="24"/>
              </w:rPr>
              <w:t>Number of children aged:</w:t>
            </w:r>
          </w:p>
        </w:tc>
        <w:tc>
          <w:tcPr>
            <w:tcW w:w="1704" w:type="dxa"/>
            <w:vAlign w:val="bottom"/>
          </w:tcPr>
          <w:p w:rsidR="007B7877" w:rsidRPr="007B7877" w:rsidRDefault="007B7877" w:rsidP="001C1AAA">
            <w:pPr>
              <w:jc w:val="center"/>
              <w:rPr>
                <w:color w:val="000000"/>
                <w:sz w:val="22"/>
                <w:szCs w:val="22"/>
              </w:rPr>
            </w:pPr>
          </w:p>
        </w:tc>
        <w:tc>
          <w:tcPr>
            <w:tcW w:w="1704" w:type="dxa"/>
            <w:vAlign w:val="bottom"/>
          </w:tcPr>
          <w:p w:rsidR="007B7877" w:rsidRPr="007B7877" w:rsidRDefault="007B7877" w:rsidP="001C1AAA">
            <w:pPr>
              <w:jc w:val="center"/>
              <w:rPr>
                <w:color w:val="000000"/>
                <w:sz w:val="22"/>
                <w:szCs w:val="22"/>
              </w:rPr>
            </w:pPr>
          </w:p>
        </w:tc>
        <w:tc>
          <w:tcPr>
            <w:tcW w:w="1705" w:type="dxa"/>
            <w:vAlign w:val="bottom"/>
          </w:tcPr>
          <w:p w:rsidR="007B7877" w:rsidRPr="007B7877" w:rsidRDefault="007B7877" w:rsidP="001C1AAA">
            <w:pPr>
              <w:jc w:val="center"/>
              <w:rPr>
                <w:color w:val="000000"/>
                <w:sz w:val="22"/>
                <w:szCs w:val="22"/>
              </w:rPr>
            </w:pPr>
          </w:p>
        </w:tc>
        <w:tc>
          <w:tcPr>
            <w:tcW w:w="1705" w:type="dxa"/>
            <w:vAlign w:val="bottom"/>
          </w:tcPr>
          <w:p w:rsidR="007B7877" w:rsidRPr="007B7877" w:rsidRDefault="007B7877" w:rsidP="001C1AAA">
            <w:pPr>
              <w:jc w:val="center"/>
              <w:rPr>
                <w:color w:val="000000"/>
                <w:sz w:val="22"/>
                <w:szCs w:val="22"/>
              </w:rPr>
            </w:pP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color w:val="000000"/>
                <w:sz w:val="24"/>
                <w:szCs w:val="24"/>
              </w:rPr>
              <w:t>0-2</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0.137</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0.360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color w:val="000000"/>
                <w:sz w:val="24"/>
                <w:szCs w:val="24"/>
              </w:rPr>
              <w:t>3-4</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0.148</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0.369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color w:val="000000"/>
                <w:sz w:val="24"/>
                <w:szCs w:val="24"/>
              </w:rPr>
              <w:t>5-11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0.567</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0.790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4</w:t>
            </w: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color w:val="000000"/>
                <w:sz w:val="24"/>
                <w:szCs w:val="24"/>
              </w:rPr>
              <w:t>12-15</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0.263</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0.547</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3</w:t>
            </w: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color w:val="000000"/>
                <w:sz w:val="24"/>
                <w:szCs w:val="24"/>
              </w:rPr>
              <w:t>16-18</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0.041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0.209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w:t>
            </w:r>
          </w:p>
        </w:tc>
      </w:tr>
      <w:tr w:rsidR="00D66227" w:rsidRPr="00344499" w:rsidTr="001C1AAA">
        <w:tc>
          <w:tcPr>
            <w:tcW w:w="1704" w:type="dxa"/>
            <w:vAlign w:val="bottom"/>
          </w:tcPr>
          <w:p w:rsidR="00D66227" w:rsidRDefault="00D66227" w:rsidP="001C1AAA">
            <w:pPr>
              <w:rPr>
                <w:color w:val="000000"/>
                <w:sz w:val="24"/>
                <w:szCs w:val="24"/>
              </w:rPr>
            </w:pPr>
            <w:r w:rsidRPr="00344499">
              <w:rPr>
                <w:color w:val="000000"/>
                <w:sz w:val="24"/>
                <w:szCs w:val="24"/>
              </w:rPr>
              <w:t>Mo. household income</w:t>
            </w:r>
            <w:r w:rsidRPr="00344499">
              <w:rPr>
                <w:color w:val="000000"/>
                <w:sz w:val="24"/>
                <w:szCs w:val="24"/>
                <w:vertAlign w:val="subscript"/>
              </w:rPr>
              <w:t>t-1</w:t>
            </w:r>
            <w:r w:rsidRPr="00344499">
              <w:rPr>
                <w:color w:val="000000"/>
                <w:sz w:val="24"/>
                <w:szCs w:val="24"/>
              </w:rPr>
              <w:t xml:space="preserve"> 000s</w:t>
            </w:r>
          </w:p>
          <w:p w:rsidR="00D66227" w:rsidRPr="00344499" w:rsidRDefault="00D66227" w:rsidP="001C1AAA">
            <w:pPr>
              <w:rPr>
                <w:color w:val="000000"/>
                <w:sz w:val="24"/>
                <w:szCs w:val="24"/>
              </w:rPr>
            </w:pPr>
            <w:r>
              <w:rPr>
                <w:color w:val="000000"/>
                <w:sz w:val="24"/>
                <w:szCs w:val="24"/>
              </w:rPr>
              <w:t>1991 prices</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2.334</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1.349</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0.001</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22.207</w:t>
            </w:r>
          </w:p>
        </w:tc>
      </w:tr>
      <w:tr w:rsidR="00D66227" w:rsidRPr="00344499" w:rsidTr="001C1AAA">
        <w:tc>
          <w:tcPr>
            <w:tcW w:w="1704" w:type="dxa"/>
            <w:vAlign w:val="bottom"/>
          </w:tcPr>
          <w:p w:rsidR="00D66227" w:rsidRPr="00344499" w:rsidRDefault="00D66227" w:rsidP="001C1AAA">
            <w:pPr>
              <w:rPr>
                <w:color w:val="000000"/>
                <w:sz w:val="24"/>
                <w:szCs w:val="24"/>
                <w:vertAlign w:val="subscript"/>
              </w:rPr>
            </w:pPr>
            <w:r w:rsidRPr="00344499">
              <w:rPr>
                <w:color w:val="000000"/>
                <w:sz w:val="24"/>
                <w:szCs w:val="24"/>
              </w:rPr>
              <w:t>Positive change in inc</w:t>
            </w:r>
            <w:r w:rsidRPr="00344499">
              <w:rPr>
                <w:color w:val="000000"/>
                <w:sz w:val="24"/>
                <w:szCs w:val="24"/>
                <w:vertAlign w:val="subscript"/>
              </w:rPr>
              <w:t>t-1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0.306</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0.810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17.990</w:t>
            </w:r>
          </w:p>
        </w:tc>
      </w:tr>
      <w:tr w:rsidR="00D66227" w:rsidRPr="00344499" w:rsidTr="001C1AAA">
        <w:tc>
          <w:tcPr>
            <w:tcW w:w="1704" w:type="dxa"/>
            <w:vAlign w:val="bottom"/>
          </w:tcPr>
          <w:p w:rsidR="00D66227" w:rsidRPr="00344499" w:rsidRDefault="00D66227" w:rsidP="001C1AAA">
            <w:pPr>
              <w:rPr>
                <w:color w:val="000000"/>
                <w:sz w:val="24"/>
                <w:szCs w:val="24"/>
                <w:vertAlign w:val="subscript"/>
              </w:rPr>
            </w:pPr>
            <w:r w:rsidRPr="00344499">
              <w:rPr>
                <w:color w:val="000000"/>
                <w:sz w:val="24"/>
                <w:szCs w:val="24"/>
              </w:rPr>
              <w:t>Negative change in inc</w:t>
            </w:r>
            <w:r w:rsidRPr="00344499">
              <w:rPr>
                <w:color w:val="000000"/>
                <w:sz w:val="24"/>
                <w:szCs w:val="24"/>
                <w:vertAlign w:val="subscript"/>
              </w:rPr>
              <w:t>t-1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0.259</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0.852</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24.516</w:t>
            </w:r>
          </w:p>
        </w:tc>
      </w:tr>
      <w:tr w:rsidR="00517E0D" w:rsidRPr="00344499" w:rsidTr="001C1AAA">
        <w:tc>
          <w:tcPr>
            <w:tcW w:w="1704" w:type="dxa"/>
            <w:vAlign w:val="bottom"/>
          </w:tcPr>
          <w:p w:rsidR="00517E0D" w:rsidRPr="00344499" w:rsidRDefault="00517E0D" w:rsidP="00517E0D">
            <w:pPr>
              <w:rPr>
                <w:color w:val="000000"/>
                <w:sz w:val="24"/>
                <w:szCs w:val="24"/>
              </w:rPr>
            </w:pPr>
            <w:r w:rsidRPr="00344499">
              <w:rPr>
                <w:color w:val="000000"/>
                <w:sz w:val="24"/>
                <w:szCs w:val="24"/>
              </w:rPr>
              <w:t xml:space="preserve">Positive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517E0D" w:rsidRPr="00D66227" w:rsidRDefault="00517E0D" w:rsidP="00D66227">
            <w:pPr>
              <w:jc w:val="center"/>
              <w:rPr>
                <w:color w:val="000000"/>
                <w:sz w:val="22"/>
                <w:szCs w:val="22"/>
              </w:rPr>
            </w:pPr>
            <w:r w:rsidRPr="00D66227">
              <w:rPr>
                <w:color w:val="000000"/>
                <w:sz w:val="22"/>
                <w:szCs w:val="22"/>
              </w:rPr>
              <w:t>0.095</w:t>
            </w:r>
          </w:p>
        </w:tc>
        <w:tc>
          <w:tcPr>
            <w:tcW w:w="1704" w:type="dxa"/>
            <w:vAlign w:val="bottom"/>
          </w:tcPr>
          <w:p w:rsidR="00517E0D" w:rsidRPr="00D66227" w:rsidRDefault="00517E0D" w:rsidP="00D66227">
            <w:pPr>
              <w:jc w:val="center"/>
              <w:rPr>
                <w:color w:val="000000"/>
                <w:sz w:val="22"/>
                <w:szCs w:val="22"/>
              </w:rPr>
            </w:pPr>
            <w:r w:rsidRPr="00D66227">
              <w:rPr>
                <w:color w:val="000000"/>
                <w:sz w:val="22"/>
                <w:szCs w:val="22"/>
              </w:rPr>
              <w:t>0.314</w:t>
            </w:r>
          </w:p>
        </w:tc>
        <w:tc>
          <w:tcPr>
            <w:tcW w:w="1705" w:type="dxa"/>
            <w:vAlign w:val="bottom"/>
          </w:tcPr>
          <w:p w:rsidR="00517E0D" w:rsidRPr="00D66227" w:rsidRDefault="00517E0D" w:rsidP="00D66227">
            <w:pPr>
              <w:jc w:val="center"/>
              <w:rPr>
                <w:color w:val="000000"/>
                <w:sz w:val="22"/>
                <w:szCs w:val="22"/>
              </w:rPr>
            </w:pPr>
            <w:r w:rsidRPr="00D66227">
              <w:rPr>
                <w:color w:val="000000"/>
                <w:sz w:val="22"/>
                <w:szCs w:val="22"/>
              </w:rPr>
              <w:t>0</w:t>
            </w:r>
          </w:p>
        </w:tc>
        <w:tc>
          <w:tcPr>
            <w:tcW w:w="1705" w:type="dxa"/>
            <w:vAlign w:val="bottom"/>
          </w:tcPr>
          <w:p w:rsidR="00517E0D" w:rsidRPr="00D66227" w:rsidRDefault="00517E0D" w:rsidP="00D66227">
            <w:pPr>
              <w:jc w:val="center"/>
              <w:rPr>
                <w:color w:val="000000"/>
                <w:sz w:val="22"/>
                <w:szCs w:val="22"/>
              </w:rPr>
            </w:pPr>
            <w:r w:rsidRPr="00D66227">
              <w:rPr>
                <w:color w:val="000000"/>
                <w:sz w:val="22"/>
                <w:szCs w:val="22"/>
              </w:rPr>
              <w:t>5</w:t>
            </w:r>
          </w:p>
        </w:tc>
      </w:tr>
      <w:tr w:rsidR="00517E0D" w:rsidRPr="00344499" w:rsidTr="001C1AAA">
        <w:tc>
          <w:tcPr>
            <w:tcW w:w="1704" w:type="dxa"/>
            <w:vAlign w:val="bottom"/>
          </w:tcPr>
          <w:p w:rsidR="00517E0D" w:rsidRPr="00344499" w:rsidRDefault="00517E0D" w:rsidP="00517E0D">
            <w:pPr>
              <w:rPr>
                <w:color w:val="000000"/>
                <w:sz w:val="24"/>
                <w:szCs w:val="24"/>
                <w:vertAlign w:val="subscript"/>
              </w:rPr>
            </w:pPr>
            <w:r w:rsidRPr="00344499">
              <w:rPr>
                <w:color w:val="000000"/>
                <w:sz w:val="24"/>
                <w:szCs w:val="24"/>
              </w:rPr>
              <w:t xml:space="preserve">Negative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517E0D" w:rsidRPr="00D66227" w:rsidRDefault="00517E0D" w:rsidP="00D66227">
            <w:pPr>
              <w:jc w:val="center"/>
              <w:rPr>
                <w:color w:val="000000"/>
                <w:sz w:val="22"/>
                <w:szCs w:val="22"/>
              </w:rPr>
            </w:pPr>
            <w:r w:rsidRPr="00D66227">
              <w:rPr>
                <w:color w:val="000000"/>
                <w:sz w:val="22"/>
                <w:szCs w:val="22"/>
              </w:rPr>
              <w:t>0.093</w:t>
            </w:r>
          </w:p>
        </w:tc>
        <w:tc>
          <w:tcPr>
            <w:tcW w:w="1704" w:type="dxa"/>
            <w:vAlign w:val="bottom"/>
          </w:tcPr>
          <w:p w:rsidR="00517E0D" w:rsidRPr="00D66227" w:rsidRDefault="00517E0D" w:rsidP="00D66227">
            <w:pPr>
              <w:jc w:val="center"/>
              <w:rPr>
                <w:color w:val="000000"/>
                <w:sz w:val="22"/>
                <w:szCs w:val="22"/>
              </w:rPr>
            </w:pPr>
            <w:r w:rsidRPr="00D66227">
              <w:rPr>
                <w:color w:val="000000"/>
                <w:sz w:val="22"/>
                <w:szCs w:val="22"/>
              </w:rPr>
              <w:t>0.406</w:t>
            </w:r>
          </w:p>
        </w:tc>
        <w:tc>
          <w:tcPr>
            <w:tcW w:w="1705" w:type="dxa"/>
            <w:vAlign w:val="bottom"/>
          </w:tcPr>
          <w:p w:rsidR="00517E0D" w:rsidRPr="00D66227" w:rsidRDefault="00517E0D" w:rsidP="00D66227">
            <w:pPr>
              <w:jc w:val="center"/>
              <w:rPr>
                <w:color w:val="000000"/>
                <w:sz w:val="22"/>
                <w:szCs w:val="22"/>
              </w:rPr>
            </w:pPr>
            <w:r w:rsidRPr="00D66227">
              <w:rPr>
                <w:color w:val="000000"/>
                <w:sz w:val="22"/>
                <w:szCs w:val="22"/>
              </w:rPr>
              <w:t>0</w:t>
            </w:r>
          </w:p>
        </w:tc>
        <w:tc>
          <w:tcPr>
            <w:tcW w:w="1705" w:type="dxa"/>
            <w:vAlign w:val="bottom"/>
          </w:tcPr>
          <w:p w:rsidR="00517E0D" w:rsidRPr="00D66227" w:rsidRDefault="00517E0D" w:rsidP="00D66227">
            <w:pPr>
              <w:jc w:val="center"/>
              <w:rPr>
                <w:color w:val="000000"/>
                <w:sz w:val="22"/>
                <w:szCs w:val="22"/>
              </w:rPr>
            </w:pPr>
            <w:r w:rsidRPr="00D66227">
              <w:rPr>
                <w:color w:val="000000"/>
                <w:sz w:val="22"/>
                <w:szCs w:val="22"/>
              </w:rPr>
              <w:t>7</w:t>
            </w:r>
          </w:p>
        </w:tc>
      </w:tr>
      <w:tr w:rsidR="00D66227" w:rsidRPr="00344499" w:rsidTr="001C1AAA">
        <w:tc>
          <w:tcPr>
            <w:tcW w:w="1704" w:type="dxa"/>
            <w:vAlign w:val="bottom"/>
          </w:tcPr>
          <w:p w:rsidR="00D66227" w:rsidRPr="00951495" w:rsidRDefault="00D66227" w:rsidP="00951495">
            <w:pPr>
              <w:rPr>
                <w:color w:val="000000"/>
                <w:sz w:val="24"/>
                <w:szCs w:val="24"/>
              </w:rPr>
            </w:pPr>
            <w:r w:rsidRPr="00344499">
              <w:rPr>
                <w:color w:val="000000"/>
                <w:sz w:val="24"/>
                <w:szCs w:val="24"/>
              </w:rPr>
              <w:t>Res.tenure</w:t>
            </w:r>
            <w:r w:rsidR="00951495">
              <w:rPr>
                <w:color w:val="000000"/>
                <w:sz w:val="24"/>
                <w:szCs w:val="24"/>
                <w:vertAlign w:val="subscript"/>
              </w:rPr>
              <w:t>t-</w:t>
            </w:r>
            <w:r w:rsidRPr="00951495">
              <w:rPr>
                <w:color w:val="000000"/>
                <w:sz w:val="24"/>
                <w:szCs w:val="24"/>
                <w:vertAlign w:val="subscript"/>
              </w:rPr>
              <w:t>1</w:t>
            </w:r>
            <w:r w:rsidR="00951495">
              <w:rPr>
                <w:color w:val="000000"/>
                <w:sz w:val="24"/>
                <w:szCs w:val="24"/>
              </w:rPr>
              <w:t xml:space="preserve"> </w:t>
            </w:r>
            <w:r w:rsidR="00951495" w:rsidRPr="00951495">
              <w:rPr>
                <w:color w:val="000000"/>
                <w:sz w:val="24"/>
                <w:szCs w:val="24"/>
              </w:rPr>
              <w:t>yrs</w:t>
            </w:r>
            <w:r w:rsidR="00951495">
              <w:rPr>
                <w:color w:val="000000"/>
                <w:sz w:val="24"/>
                <w:szCs w:val="24"/>
              </w:rPr>
              <w:t>.</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6.363</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5.278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36.292</w:t>
            </w:r>
          </w:p>
        </w:tc>
      </w:tr>
      <w:tr w:rsidR="00D66227" w:rsidRPr="00344499" w:rsidTr="001C1AAA">
        <w:tc>
          <w:tcPr>
            <w:tcW w:w="1704" w:type="dxa"/>
            <w:vAlign w:val="bottom"/>
          </w:tcPr>
          <w:p w:rsidR="00D66227" w:rsidRPr="00344499" w:rsidRDefault="00D66227" w:rsidP="001C1AAA">
            <w:pPr>
              <w:rPr>
                <w:color w:val="000000"/>
                <w:sz w:val="24"/>
                <w:szCs w:val="24"/>
              </w:rPr>
            </w:pPr>
            <w:r w:rsidRPr="00344499">
              <w:rPr>
                <w:sz w:val="24"/>
                <w:szCs w:val="24"/>
              </w:rPr>
              <w:t>Log(real LA house price</w:t>
            </w:r>
            <w:r w:rsidRPr="00344499">
              <w:rPr>
                <w:sz w:val="24"/>
                <w:szCs w:val="24"/>
                <w:vertAlign w:val="subscript"/>
              </w:rPr>
              <w:t>t-1</w:t>
            </w:r>
            <w:r w:rsidRPr="00344499">
              <w:rPr>
                <w:sz w:val="24"/>
                <w:szCs w:val="24"/>
              </w:rPr>
              <w:t>)</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11.423</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0.434</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10.453</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12.830</w:t>
            </w:r>
          </w:p>
        </w:tc>
      </w:tr>
      <w:tr w:rsidR="00D66227" w:rsidRPr="00344499" w:rsidTr="001C1AAA">
        <w:tc>
          <w:tcPr>
            <w:tcW w:w="1704" w:type="dxa"/>
            <w:vAlign w:val="bottom"/>
          </w:tcPr>
          <w:p w:rsidR="00D66227" w:rsidRPr="00344499" w:rsidRDefault="00D66227" w:rsidP="001C1AAA">
            <w:pPr>
              <w:rPr>
                <w:color w:val="000000"/>
                <w:sz w:val="24"/>
                <w:szCs w:val="24"/>
                <w:vertAlign w:val="subscript"/>
              </w:rPr>
            </w:pPr>
            <w:r w:rsidRPr="00344499">
              <w:rPr>
                <w:color w:val="000000"/>
                <w:sz w:val="24"/>
                <w:szCs w:val="24"/>
              </w:rPr>
              <w:t>LA unemployment rate</w:t>
            </w:r>
            <w:r w:rsidRPr="00344499">
              <w:rPr>
                <w:color w:val="000000"/>
                <w:sz w:val="24"/>
                <w:szCs w:val="24"/>
                <w:vertAlign w:val="subscript"/>
              </w:rPr>
              <w:t>t-1</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3.096</w:t>
            </w:r>
          </w:p>
        </w:tc>
        <w:tc>
          <w:tcPr>
            <w:tcW w:w="1704" w:type="dxa"/>
            <w:vAlign w:val="bottom"/>
          </w:tcPr>
          <w:p w:rsidR="00D66227" w:rsidRPr="00D66227" w:rsidRDefault="00D66227" w:rsidP="00D66227">
            <w:pPr>
              <w:jc w:val="center"/>
              <w:rPr>
                <w:color w:val="000000"/>
                <w:sz w:val="22"/>
                <w:szCs w:val="22"/>
              </w:rPr>
            </w:pPr>
            <w:r w:rsidRPr="00D66227">
              <w:rPr>
                <w:color w:val="000000"/>
                <w:sz w:val="22"/>
                <w:szCs w:val="22"/>
              </w:rPr>
              <w:t>1.948</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0.417</w:t>
            </w:r>
          </w:p>
        </w:tc>
        <w:tc>
          <w:tcPr>
            <w:tcW w:w="1705" w:type="dxa"/>
            <w:vAlign w:val="bottom"/>
          </w:tcPr>
          <w:p w:rsidR="00D66227" w:rsidRPr="00D66227" w:rsidRDefault="00D66227" w:rsidP="00D66227">
            <w:pPr>
              <w:jc w:val="center"/>
              <w:rPr>
                <w:color w:val="000000"/>
                <w:sz w:val="22"/>
                <w:szCs w:val="22"/>
              </w:rPr>
            </w:pPr>
            <w:r w:rsidRPr="00D66227">
              <w:rPr>
                <w:color w:val="000000"/>
                <w:sz w:val="22"/>
                <w:szCs w:val="22"/>
              </w:rPr>
              <w:t>14.433</w:t>
            </w:r>
          </w:p>
        </w:tc>
      </w:tr>
    </w:tbl>
    <w:p w:rsidR="001C1AAA" w:rsidRDefault="001C1AAA" w:rsidP="001C1AAA">
      <w:pPr>
        <w:spacing w:line="480" w:lineRule="auto"/>
        <w:rPr>
          <w:sz w:val="24"/>
          <w:szCs w:val="24"/>
        </w:rPr>
      </w:pPr>
    </w:p>
    <w:p w:rsidR="00522D30" w:rsidRDefault="00522D30" w:rsidP="00B62356">
      <w:pPr>
        <w:spacing w:line="480" w:lineRule="auto"/>
        <w:rPr>
          <w:sz w:val="24"/>
          <w:szCs w:val="24"/>
        </w:rPr>
      </w:pPr>
    </w:p>
    <w:p w:rsidR="007357B0" w:rsidRDefault="007357B0" w:rsidP="007357B0">
      <w:pPr>
        <w:rPr>
          <w:sz w:val="24"/>
          <w:szCs w:val="24"/>
        </w:rPr>
      </w:pPr>
    </w:p>
    <w:p w:rsidR="00653410" w:rsidRDefault="00653410" w:rsidP="00B62356">
      <w:pPr>
        <w:spacing w:line="480" w:lineRule="auto"/>
        <w:rPr>
          <w:sz w:val="24"/>
          <w:szCs w:val="24"/>
        </w:rPr>
      </w:pPr>
      <w:r>
        <w:rPr>
          <w:sz w:val="24"/>
          <w:szCs w:val="24"/>
        </w:rPr>
        <w:br w:type="page"/>
      </w:r>
      <w:r>
        <w:rPr>
          <w:sz w:val="24"/>
          <w:szCs w:val="24"/>
        </w:rPr>
        <w:lastRenderedPageBreak/>
        <w:t>Table B3: Full set of parameter estimates for Model 4 of Table 2</w:t>
      </w:r>
      <w:r w:rsidR="00DE1F0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830497" w:rsidRPr="00344499" w:rsidTr="00C528A4">
        <w:tc>
          <w:tcPr>
            <w:tcW w:w="1704" w:type="dxa"/>
            <w:vAlign w:val="bottom"/>
          </w:tcPr>
          <w:p w:rsidR="00830497" w:rsidRPr="00344499" w:rsidRDefault="00830497" w:rsidP="00C528A4">
            <w:pPr>
              <w:rPr>
                <w:color w:val="000000"/>
                <w:sz w:val="24"/>
                <w:szCs w:val="24"/>
              </w:rPr>
            </w:pPr>
          </w:p>
        </w:tc>
        <w:tc>
          <w:tcPr>
            <w:tcW w:w="1704" w:type="dxa"/>
            <w:vAlign w:val="bottom"/>
          </w:tcPr>
          <w:p w:rsidR="00830497" w:rsidRPr="00344499" w:rsidRDefault="00830497" w:rsidP="00C528A4">
            <w:pPr>
              <w:jc w:val="center"/>
              <w:rPr>
                <w:b/>
                <w:color w:val="000000"/>
                <w:sz w:val="24"/>
                <w:szCs w:val="24"/>
              </w:rPr>
            </w:pPr>
            <w:proofErr w:type="spellStart"/>
            <w:r>
              <w:rPr>
                <w:b/>
                <w:color w:val="000000"/>
                <w:sz w:val="24"/>
                <w:szCs w:val="24"/>
              </w:rPr>
              <w:t>Coeff</w:t>
            </w:r>
            <w:proofErr w:type="spellEnd"/>
            <w:r>
              <w:rPr>
                <w:b/>
                <w:color w:val="000000"/>
                <w:sz w:val="24"/>
                <w:szCs w:val="24"/>
              </w:rPr>
              <w:t>.</w:t>
            </w:r>
          </w:p>
        </w:tc>
        <w:tc>
          <w:tcPr>
            <w:tcW w:w="1704" w:type="dxa"/>
            <w:vAlign w:val="bottom"/>
          </w:tcPr>
          <w:p w:rsidR="00830497" w:rsidRPr="00344499" w:rsidRDefault="00830497" w:rsidP="00C528A4">
            <w:pPr>
              <w:jc w:val="center"/>
              <w:rPr>
                <w:b/>
                <w:color w:val="000000"/>
                <w:sz w:val="24"/>
                <w:szCs w:val="24"/>
              </w:rPr>
            </w:pPr>
            <w:r>
              <w:rPr>
                <w:b/>
                <w:color w:val="000000"/>
                <w:sz w:val="24"/>
                <w:szCs w:val="24"/>
              </w:rPr>
              <w:t>Std, Error</w:t>
            </w:r>
          </w:p>
        </w:tc>
        <w:tc>
          <w:tcPr>
            <w:tcW w:w="1705" w:type="dxa"/>
            <w:vAlign w:val="bottom"/>
          </w:tcPr>
          <w:p w:rsidR="00830497" w:rsidRPr="00344499" w:rsidRDefault="00830497" w:rsidP="00C528A4">
            <w:pPr>
              <w:jc w:val="center"/>
              <w:rPr>
                <w:b/>
                <w:color w:val="000000"/>
                <w:sz w:val="24"/>
                <w:szCs w:val="24"/>
              </w:rPr>
            </w:pPr>
            <w:r>
              <w:rPr>
                <w:b/>
                <w:color w:val="000000"/>
                <w:sz w:val="24"/>
                <w:szCs w:val="24"/>
              </w:rPr>
              <w:t>z</w:t>
            </w:r>
          </w:p>
        </w:tc>
        <w:tc>
          <w:tcPr>
            <w:tcW w:w="1705" w:type="dxa"/>
          </w:tcPr>
          <w:p w:rsidR="00830497" w:rsidRDefault="00830497" w:rsidP="00C528A4">
            <w:pPr>
              <w:jc w:val="center"/>
              <w:rPr>
                <w:b/>
                <w:color w:val="000000"/>
                <w:sz w:val="24"/>
                <w:szCs w:val="24"/>
              </w:rPr>
            </w:pPr>
            <w:r>
              <w:rPr>
                <w:b/>
                <w:color w:val="000000"/>
                <w:sz w:val="24"/>
                <w:szCs w:val="24"/>
              </w:rPr>
              <w:t>P&gt;|z|</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q</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1.62</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0.46</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3.52</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w:t>
            </w:r>
          </w:p>
        </w:tc>
      </w:tr>
      <w:tr w:rsidR="00830497" w:rsidRPr="007B7877" w:rsidTr="00C528A4">
        <w:tc>
          <w:tcPr>
            <w:tcW w:w="1704" w:type="dxa"/>
            <w:vAlign w:val="bottom"/>
          </w:tcPr>
          <w:p w:rsidR="00830497" w:rsidRPr="00344499" w:rsidRDefault="00517E0D" w:rsidP="00C528A4">
            <w:pPr>
              <w:rPr>
                <w:color w:val="000000"/>
                <w:sz w:val="24"/>
                <w:szCs w:val="24"/>
              </w:rPr>
            </w:pPr>
            <w:r>
              <w:rPr>
                <w:color w:val="000000"/>
                <w:sz w:val="24"/>
                <w:szCs w:val="24"/>
              </w:rPr>
              <w:t>A</w:t>
            </w:r>
            <w:r w:rsidR="00830497" w:rsidRPr="00344499">
              <w:rPr>
                <w:color w:val="000000"/>
                <w:sz w:val="24"/>
                <w:szCs w:val="24"/>
              </w:rPr>
              <w:t>ge</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-0.56</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-3.25</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0.001</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Age-squared</w:t>
            </w:r>
            <w:r w:rsidR="00517E0D">
              <w:rPr>
                <w:color w:val="000000"/>
                <w:sz w:val="24"/>
                <w:szCs w:val="24"/>
              </w:rPr>
              <w:t>/100</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0.48</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0.24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1.96</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0.05</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Partner</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-0.84</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0.27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-3.13</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0.002</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Number of children aged:</w:t>
            </w:r>
          </w:p>
        </w:tc>
        <w:tc>
          <w:tcPr>
            <w:tcW w:w="1704" w:type="dxa"/>
            <w:vAlign w:val="bottom"/>
          </w:tcPr>
          <w:p w:rsidR="00830497" w:rsidRPr="00830497" w:rsidRDefault="00830497" w:rsidP="00C528A4">
            <w:pPr>
              <w:jc w:val="center"/>
              <w:rPr>
                <w:color w:val="000000"/>
                <w:sz w:val="22"/>
                <w:szCs w:val="22"/>
              </w:rPr>
            </w:pPr>
          </w:p>
        </w:tc>
        <w:tc>
          <w:tcPr>
            <w:tcW w:w="1704" w:type="dxa"/>
            <w:vAlign w:val="bottom"/>
          </w:tcPr>
          <w:p w:rsidR="00830497" w:rsidRPr="00830497" w:rsidRDefault="00830497" w:rsidP="00C528A4">
            <w:pPr>
              <w:jc w:val="center"/>
              <w:rPr>
                <w:color w:val="000000"/>
                <w:sz w:val="22"/>
                <w:szCs w:val="22"/>
              </w:rPr>
            </w:pPr>
          </w:p>
        </w:tc>
        <w:tc>
          <w:tcPr>
            <w:tcW w:w="1705" w:type="dxa"/>
            <w:vAlign w:val="bottom"/>
          </w:tcPr>
          <w:p w:rsidR="00830497" w:rsidRPr="00830497" w:rsidRDefault="00830497" w:rsidP="00C528A4">
            <w:pPr>
              <w:jc w:val="center"/>
              <w:rPr>
                <w:color w:val="000000"/>
                <w:sz w:val="22"/>
                <w:szCs w:val="22"/>
              </w:rPr>
            </w:pPr>
          </w:p>
        </w:tc>
        <w:tc>
          <w:tcPr>
            <w:tcW w:w="1705" w:type="dxa"/>
            <w:vAlign w:val="bottom"/>
          </w:tcPr>
          <w:p w:rsidR="00830497" w:rsidRPr="00830497" w:rsidRDefault="00830497" w:rsidP="00C528A4">
            <w:pPr>
              <w:jc w:val="center"/>
              <w:rPr>
                <w:color w:val="000000"/>
                <w:sz w:val="22"/>
                <w:szCs w:val="22"/>
              </w:rPr>
            </w:pP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0-2</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-0.23</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0.18</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-1.27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0.205</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3-4</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-0.18</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0.18</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-1.04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0.299</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5-11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-0.25</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0.15</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-1.72</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0.085</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12-15</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0.03</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0.23</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0.15</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0.88</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16-18</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-0.04</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0.44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-0.1</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0.921</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Mo. household income</w:t>
            </w:r>
            <w:r w:rsidRPr="00344499">
              <w:rPr>
                <w:color w:val="000000"/>
                <w:sz w:val="24"/>
                <w:szCs w:val="24"/>
                <w:vertAlign w:val="subscript"/>
              </w:rPr>
              <w:t>t-1</w:t>
            </w:r>
            <w:r w:rsidRPr="00344499">
              <w:rPr>
                <w:color w:val="000000"/>
                <w:sz w:val="24"/>
                <w:szCs w:val="24"/>
              </w:rPr>
              <w:t xml:space="preserve"> 000s</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0.10</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0.09</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1.04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0.298</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Positive change in inc</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0.11</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-0.05</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0.958</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Negative change in inc</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-0.04</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0.10</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-0.39</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0.698</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color w:val="000000"/>
                <w:sz w:val="24"/>
                <w:szCs w:val="24"/>
              </w:rPr>
              <w:t xml:space="preserve">Positive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-0.08</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-0.48</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0.634</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 xml:space="preserve">Negative change in </w:t>
            </w:r>
            <w:proofErr w:type="spellStart"/>
            <w:r w:rsidRPr="00344499">
              <w:rPr>
                <w:color w:val="000000"/>
                <w:sz w:val="24"/>
                <w:szCs w:val="24"/>
              </w:rPr>
              <w:t>hh</w:t>
            </w:r>
            <w:proofErr w:type="spellEnd"/>
            <w:r w:rsidRPr="00344499">
              <w:rPr>
                <w:color w:val="000000"/>
                <w:sz w:val="24"/>
                <w:szCs w:val="24"/>
              </w:rPr>
              <w:t xml:space="preserve"> size</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-0.48</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0.16</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-3.01</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0.003</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Res.tenure</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0.57</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8.29</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w:t>
            </w:r>
          </w:p>
        </w:tc>
      </w:tr>
      <w:tr w:rsidR="00830497" w:rsidRPr="007B7877" w:rsidTr="00C528A4">
        <w:tc>
          <w:tcPr>
            <w:tcW w:w="1704" w:type="dxa"/>
            <w:vAlign w:val="bottom"/>
          </w:tcPr>
          <w:p w:rsidR="00830497" w:rsidRPr="00344499" w:rsidRDefault="00830497" w:rsidP="00C528A4">
            <w:pPr>
              <w:rPr>
                <w:color w:val="000000"/>
                <w:sz w:val="24"/>
                <w:szCs w:val="24"/>
              </w:rPr>
            </w:pPr>
            <w:proofErr w:type="spellStart"/>
            <w:r w:rsidRPr="00344499">
              <w:rPr>
                <w:color w:val="000000"/>
                <w:sz w:val="24"/>
                <w:szCs w:val="24"/>
              </w:rPr>
              <w:t>Resten.squared</w:t>
            </w:r>
            <w:proofErr w:type="spellEnd"/>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0.02</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0.50</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0.05</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0.96</w:t>
            </w:r>
          </w:p>
        </w:tc>
      </w:tr>
      <w:tr w:rsidR="00830497" w:rsidRPr="007B7877" w:rsidTr="00C528A4">
        <w:tc>
          <w:tcPr>
            <w:tcW w:w="1704" w:type="dxa"/>
            <w:vAlign w:val="bottom"/>
          </w:tcPr>
          <w:p w:rsidR="00830497" w:rsidRPr="00344499" w:rsidRDefault="00830497" w:rsidP="00C528A4">
            <w:pPr>
              <w:rPr>
                <w:color w:val="000000"/>
                <w:sz w:val="24"/>
                <w:szCs w:val="24"/>
              </w:rPr>
            </w:pPr>
            <w:r w:rsidRPr="00344499">
              <w:rPr>
                <w:sz w:val="24"/>
                <w:szCs w:val="24"/>
              </w:rPr>
              <w:t>Log(real LA house price</w:t>
            </w:r>
            <w:r w:rsidRPr="00344499">
              <w:rPr>
                <w:sz w:val="24"/>
                <w:szCs w:val="24"/>
                <w:vertAlign w:val="subscript"/>
              </w:rPr>
              <w:t>t-1</w:t>
            </w:r>
            <w:r w:rsidRPr="00344499">
              <w:rPr>
                <w:sz w:val="24"/>
                <w:szCs w:val="24"/>
              </w:rPr>
              <w:t>)</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-1.32</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0.44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-2.97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0.003</w:t>
            </w:r>
          </w:p>
        </w:tc>
      </w:tr>
      <w:tr w:rsidR="00830497" w:rsidRPr="007B7877" w:rsidTr="00C528A4">
        <w:tc>
          <w:tcPr>
            <w:tcW w:w="1704" w:type="dxa"/>
            <w:vAlign w:val="bottom"/>
          </w:tcPr>
          <w:p w:rsidR="00830497" w:rsidRPr="00344499" w:rsidRDefault="00830497" w:rsidP="00C528A4">
            <w:pPr>
              <w:rPr>
                <w:color w:val="000000"/>
                <w:sz w:val="24"/>
                <w:szCs w:val="24"/>
                <w:vertAlign w:val="subscript"/>
              </w:rPr>
            </w:pPr>
            <w:r w:rsidRPr="00344499">
              <w:rPr>
                <w:color w:val="000000"/>
                <w:sz w:val="24"/>
                <w:szCs w:val="24"/>
              </w:rPr>
              <w:t>LA unemployment rate</w:t>
            </w:r>
            <w:r w:rsidRPr="00344499">
              <w:rPr>
                <w:color w:val="000000"/>
                <w:sz w:val="24"/>
                <w:szCs w:val="24"/>
                <w:vertAlign w:val="subscript"/>
              </w:rPr>
              <w:t>t-1</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-0.17</w:t>
            </w:r>
          </w:p>
        </w:tc>
        <w:tc>
          <w:tcPr>
            <w:tcW w:w="1704" w:type="dxa"/>
            <w:vAlign w:val="bottom"/>
          </w:tcPr>
          <w:p w:rsidR="00830497" w:rsidRPr="00830497" w:rsidRDefault="00830497" w:rsidP="00C528A4">
            <w:pPr>
              <w:jc w:val="center"/>
              <w:rPr>
                <w:color w:val="000000"/>
                <w:sz w:val="22"/>
                <w:szCs w:val="22"/>
              </w:rPr>
            </w:pPr>
            <w:r w:rsidRPr="00830497">
              <w:rPr>
                <w:color w:val="000000"/>
                <w:sz w:val="22"/>
                <w:szCs w:val="22"/>
              </w:rPr>
              <w:t>0.07</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-2.4</w:t>
            </w:r>
          </w:p>
        </w:tc>
        <w:tc>
          <w:tcPr>
            <w:tcW w:w="1705" w:type="dxa"/>
            <w:vAlign w:val="bottom"/>
          </w:tcPr>
          <w:p w:rsidR="00830497" w:rsidRPr="00830497" w:rsidRDefault="00830497" w:rsidP="00C528A4">
            <w:pPr>
              <w:jc w:val="center"/>
              <w:rPr>
                <w:color w:val="000000"/>
                <w:sz w:val="22"/>
                <w:szCs w:val="22"/>
              </w:rPr>
            </w:pPr>
            <w:r w:rsidRPr="00830497">
              <w:rPr>
                <w:color w:val="000000"/>
                <w:sz w:val="22"/>
                <w:szCs w:val="22"/>
              </w:rPr>
              <w:t>0.016</w:t>
            </w:r>
          </w:p>
        </w:tc>
      </w:tr>
    </w:tbl>
    <w:p w:rsidR="00830497" w:rsidRPr="00517E0D" w:rsidRDefault="00DE1F07" w:rsidP="00830497">
      <w:pPr>
        <w:rPr>
          <w:sz w:val="22"/>
          <w:szCs w:val="22"/>
        </w:rPr>
      </w:pPr>
      <w:r>
        <w:rPr>
          <w:sz w:val="24"/>
          <w:szCs w:val="24"/>
        </w:rPr>
        <w:t>*</w:t>
      </w:r>
      <w:r w:rsidR="00830497" w:rsidRPr="00517E0D">
        <w:rPr>
          <w:sz w:val="22"/>
          <w:szCs w:val="22"/>
        </w:rPr>
        <w:t xml:space="preserve">Conditional fixed-effects logistic regression: </w:t>
      </w:r>
    </w:p>
    <w:p w:rsidR="00830497" w:rsidRPr="00517E0D" w:rsidRDefault="00830497" w:rsidP="00830497">
      <w:pPr>
        <w:rPr>
          <w:sz w:val="22"/>
          <w:szCs w:val="22"/>
        </w:rPr>
      </w:pPr>
      <w:r w:rsidRPr="00517E0D">
        <w:rPr>
          <w:sz w:val="22"/>
          <w:szCs w:val="22"/>
        </w:rPr>
        <w:t xml:space="preserve">Number of </w:t>
      </w:r>
      <w:proofErr w:type="spellStart"/>
      <w:r w:rsidRPr="00517E0D">
        <w:rPr>
          <w:sz w:val="22"/>
          <w:szCs w:val="22"/>
        </w:rPr>
        <w:t>obs</w:t>
      </w:r>
      <w:proofErr w:type="spellEnd"/>
      <w:r w:rsidRPr="00517E0D">
        <w:rPr>
          <w:sz w:val="22"/>
          <w:szCs w:val="22"/>
        </w:rPr>
        <w:t xml:space="preserve"> =3059 </w:t>
      </w:r>
    </w:p>
    <w:p w:rsidR="00830497" w:rsidRPr="00517E0D" w:rsidRDefault="00830497" w:rsidP="00830497">
      <w:pPr>
        <w:rPr>
          <w:sz w:val="22"/>
          <w:szCs w:val="22"/>
        </w:rPr>
      </w:pPr>
      <w:r w:rsidRPr="00517E0D">
        <w:rPr>
          <w:sz w:val="22"/>
          <w:szCs w:val="22"/>
        </w:rPr>
        <w:t>Number of groups   =       427</w:t>
      </w:r>
    </w:p>
    <w:p w:rsidR="00830497" w:rsidRPr="00517E0D" w:rsidRDefault="00830497" w:rsidP="006875F1">
      <w:pPr>
        <w:rPr>
          <w:sz w:val="22"/>
          <w:szCs w:val="22"/>
        </w:rPr>
      </w:pPr>
      <w:proofErr w:type="spellStart"/>
      <w:r w:rsidRPr="00517E0D">
        <w:rPr>
          <w:sz w:val="22"/>
          <w:szCs w:val="22"/>
        </w:rPr>
        <w:t>Obs</w:t>
      </w:r>
      <w:proofErr w:type="spellEnd"/>
      <w:r w:rsidRPr="00517E0D">
        <w:rPr>
          <w:sz w:val="22"/>
          <w:szCs w:val="22"/>
        </w:rPr>
        <w:t xml:space="preserve"> per group: min =         2</w:t>
      </w:r>
    </w:p>
    <w:p w:rsidR="00830497" w:rsidRPr="00517E0D" w:rsidRDefault="006875F1" w:rsidP="006875F1">
      <w:pPr>
        <w:rPr>
          <w:sz w:val="22"/>
          <w:szCs w:val="22"/>
        </w:rPr>
      </w:pPr>
      <w:r w:rsidRPr="00517E0D">
        <w:rPr>
          <w:sz w:val="22"/>
          <w:szCs w:val="22"/>
        </w:rPr>
        <w:t xml:space="preserve">                         </w:t>
      </w:r>
      <w:r w:rsidR="00830497" w:rsidRPr="00517E0D">
        <w:rPr>
          <w:sz w:val="22"/>
          <w:szCs w:val="22"/>
        </w:rPr>
        <w:t xml:space="preserve"> </w:t>
      </w:r>
      <w:proofErr w:type="spellStart"/>
      <w:proofErr w:type="gramStart"/>
      <w:r w:rsidR="00830497" w:rsidRPr="00517E0D">
        <w:rPr>
          <w:sz w:val="22"/>
          <w:szCs w:val="22"/>
        </w:rPr>
        <w:t>avg</w:t>
      </w:r>
      <w:proofErr w:type="spellEnd"/>
      <w:proofErr w:type="gramEnd"/>
      <w:r w:rsidR="00830497" w:rsidRPr="00517E0D">
        <w:rPr>
          <w:sz w:val="22"/>
          <w:szCs w:val="22"/>
        </w:rPr>
        <w:t xml:space="preserve"> =       7.2</w:t>
      </w:r>
    </w:p>
    <w:p w:rsidR="00830497" w:rsidRPr="00517E0D" w:rsidRDefault="006875F1" w:rsidP="006875F1">
      <w:pPr>
        <w:rPr>
          <w:sz w:val="22"/>
          <w:szCs w:val="22"/>
        </w:rPr>
      </w:pPr>
      <w:r w:rsidRPr="00517E0D">
        <w:rPr>
          <w:sz w:val="22"/>
          <w:szCs w:val="22"/>
        </w:rPr>
        <w:t xml:space="preserve">                          </w:t>
      </w:r>
      <w:proofErr w:type="gramStart"/>
      <w:r w:rsidR="00830497" w:rsidRPr="00517E0D">
        <w:rPr>
          <w:sz w:val="22"/>
          <w:szCs w:val="22"/>
        </w:rPr>
        <w:t>max</w:t>
      </w:r>
      <w:proofErr w:type="gramEnd"/>
      <w:r w:rsidR="00517E0D">
        <w:rPr>
          <w:sz w:val="22"/>
          <w:szCs w:val="22"/>
        </w:rPr>
        <w:t xml:space="preserve"> =       </w:t>
      </w:r>
      <w:r w:rsidR="00830497" w:rsidRPr="00517E0D">
        <w:rPr>
          <w:sz w:val="22"/>
          <w:szCs w:val="22"/>
        </w:rPr>
        <w:t>13</w:t>
      </w:r>
    </w:p>
    <w:p w:rsidR="00830497" w:rsidRPr="00517E0D" w:rsidRDefault="00830497" w:rsidP="006875F1">
      <w:pPr>
        <w:rPr>
          <w:sz w:val="22"/>
          <w:szCs w:val="22"/>
        </w:rPr>
      </w:pPr>
      <w:r w:rsidRPr="00517E0D">
        <w:rPr>
          <w:sz w:val="22"/>
          <w:szCs w:val="22"/>
        </w:rPr>
        <w:t xml:space="preserve">LR </w:t>
      </w:r>
      <w:proofErr w:type="gramStart"/>
      <w:r w:rsidRPr="00517E0D">
        <w:rPr>
          <w:sz w:val="22"/>
          <w:szCs w:val="22"/>
        </w:rPr>
        <w:t>chi2(</w:t>
      </w:r>
      <w:proofErr w:type="gramEnd"/>
      <w:r w:rsidRPr="00517E0D">
        <w:rPr>
          <w:sz w:val="22"/>
          <w:szCs w:val="22"/>
        </w:rPr>
        <w:t>18)        =    456.24</w:t>
      </w:r>
    </w:p>
    <w:p w:rsidR="00830497" w:rsidRPr="00517E0D" w:rsidRDefault="00830497" w:rsidP="006875F1">
      <w:pPr>
        <w:rPr>
          <w:sz w:val="22"/>
          <w:szCs w:val="22"/>
        </w:rPr>
      </w:pPr>
      <w:r w:rsidRPr="00517E0D">
        <w:rPr>
          <w:sz w:val="22"/>
          <w:szCs w:val="22"/>
        </w:rPr>
        <w:t xml:space="preserve">Log </w:t>
      </w:r>
      <w:proofErr w:type="gramStart"/>
      <w:r w:rsidRPr="00517E0D">
        <w:rPr>
          <w:sz w:val="22"/>
          <w:szCs w:val="22"/>
        </w:rPr>
        <w:t>likelihood  =</w:t>
      </w:r>
      <w:proofErr w:type="gramEnd"/>
      <w:r w:rsidRPr="00517E0D">
        <w:rPr>
          <w:sz w:val="22"/>
          <w:szCs w:val="22"/>
        </w:rPr>
        <w:t xml:space="preserve"> -687.12104                    </w:t>
      </w:r>
      <w:proofErr w:type="spellStart"/>
      <w:r w:rsidRPr="00517E0D">
        <w:rPr>
          <w:sz w:val="22"/>
          <w:szCs w:val="22"/>
        </w:rPr>
        <w:t>Prob</w:t>
      </w:r>
      <w:proofErr w:type="spellEnd"/>
      <w:r w:rsidRPr="00517E0D">
        <w:rPr>
          <w:sz w:val="22"/>
          <w:szCs w:val="22"/>
        </w:rPr>
        <w:t xml:space="preserve"> &gt; chi2        =    0.0000</w:t>
      </w:r>
    </w:p>
    <w:p w:rsidR="00653410" w:rsidRDefault="00653410" w:rsidP="00B62356">
      <w:pPr>
        <w:spacing w:line="480" w:lineRule="auto"/>
        <w:rPr>
          <w:sz w:val="24"/>
          <w:szCs w:val="24"/>
        </w:rPr>
      </w:pPr>
    </w:p>
    <w:p w:rsidR="001B7AF1" w:rsidRDefault="0000368E" w:rsidP="00B62356">
      <w:pPr>
        <w:spacing w:line="480" w:lineRule="auto"/>
        <w:rPr>
          <w:szCs w:val="24"/>
        </w:rPr>
      </w:pPr>
      <w:r>
        <w:rPr>
          <w:noProof/>
          <w:szCs w:val="24"/>
          <w:lang w:eastAsia="ja-JP"/>
        </w:rPr>
        <w:lastRenderedPageBreak/>
        <w:drawing>
          <wp:inline distT="0" distB="0" distL="0" distR="0">
            <wp:extent cx="527685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6850" cy="3219450"/>
                    </a:xfrm>
                    <a:prstGeom prst="rect">
                      <a:avLst/>
                    </a:prstGeom>
                    <a:noFill/>
                    <a:ln w="9525">
                      <a:noFill/>
                      <a:miter lim="800000"/>
                      <a:headEnd/>
                      <a:tailEnd/>
                    </a:ln>
                  </pic:spPr>
                </pic:pic>
              </a:graphicData>
            </a:graphic>
          </wp:inline>
        </w:drawing>
      </w:r>
    </w:p>
    <w:p w:rsidR="00210E9F" w:rsidRPr="0011313D" w:rsidRDefault="00210E9F" w:rsidP="00B62356">
      <w:pPr>
        <w:spacing w:line="480" w:lineRule="auto"/>
        <w:rPr>
          <w:sz w:val="24"/>
          <w:szCs w:val="24"/>
          <w:u w:val="single"/>
        </w:rPr>
      </w:pPr>
      <w:r>
        <w:rPr>
          <w:szCs w:val="24"/>
        </w:rPr>
        <w:br w:type="page"/>
      </w:r>
      <w:r w:rsidRPr="0011313D">
        <w:rPr>
          <w:sz w:val="24"/>
          <w:szCs w:val="24"/>
          <w:u w:val="single"/>
        </w:rPr>
        <w:lastRenderedPageBreak/>
        <w:t>References</w:t>
      </w:r>
    </w:p>
    <w:p w:rsidR="001A1936" w:rsidRPr="00CF74D9" w:rsidRDefault="001A1936" w:rsidP="00CF74D9">
      <w:pPr>
        <w:autoSpaceDE w:val="0"/>
        <w:autoSpaceDN w:val="0"/>
        <w:adjustRightInd w:val="0"/>
        <w:ind w:left="720" w:hanging="720"/>
        <w:rPr>
          <w:sz w:val="24"/>
          <w:szCs w:val="24"/>
        </w:rPr>
      </w:pPr>
      <w:proofErr w:type="spellStart"/>
      <w:r w:rsidRPr="00CF74D9">
        <w:rPr>
          <w:sz w:val="24"/>
          <w:szCs w:val="24"/>
        </w:rPr>
        <w:t>Belot</w:t>
      </w:r>
      <w:proofErr w:type="spellEnd"/>
      <w:r w:rsidR="00CF74D9">
        <w:rPr>
          <w:sz w:val="24"/>
          <w:szCs w:val="24"/>
        </w:rPr>
        <w:t xml:space="preserve">, M. and </w:t>
      </w:r>
      <w:proofErr w:type="spellStart"/>
      <w:r w:rsidRPr="00CF74D9">
        <w:rPr>
          <w:sz w:val="24"/>
          <w:szCs w:val="24"/>
        </w:rPr>
        <w:t>Ermisch</w:t>
      </w:r>
      <w:proofErr w:type="spellEnd"/>
      <w:r w:rsidRPr="00CF74D9">
        <w:rPr>
          <w:sz w:val="24"/>
          <w:szCs w:val="24"/>
        </w:rPr>
        <w:t xml:space="preserve">, </w:t>
      </w:r>
      <w:r w:rsidR="00CF74D9">
        <w:rPr>
          <w:sz w:val="24"/>
          <w:szCs w:val="24"/>
        </w:rPr>
        <w:t>J. (2009),</w:t>
      </w:r>
      <w:r w:rsidRPr="00CF74D9">
        <w:rPr>
          <w:sz w:val="24"/>
          <w:szCs w:val="24"/>
        </w:rPr>
        <w:t xml:space="preserve"> </w:t>
      </w:r>
      <w:r w:rsidR="00CF74D9" w:rsidRPr="00CF74D9">
        <w:rPr>
          <w:bCs/>
          <w:sz w:val="24"/>
          <w:szCs w:val="24"/>
        </w:rPr>
        <w:t>Friendship ties and geographical mobility: evidence from Great Britain</w:t>
      </w:r>
      <w:r w:rsidRPr="00CF74D9">
        <w:rPr>
          <w:sz w:val="24"/>
          <w:szCs w:val="24"/>
        </w:rPr>
        <w:t xml:space="preserve">, </w:t>
      </w:r>
      <w:r w:rsidR="00CF74D9" w:rsidRPr="00CF74D9">
        <w:rPr>
          <w:i/>
          <w:sz w:val="24"/>
          <w:szCs w:val="24"/>
        </w:rPr>
        <w:t>Journal of the Royal Statistical Society Series A</w:t>
      </w:r>
      <w:r w:rsidRPr="00CF74D9">
        <w:rPr>
          <w:i/>
          <w:sz w:val="24"/>
          <w:szCs w:val="24"/>
        </w:rPr>
        <w:t xml:space="preserve">, </w:t>
      </w:r>
      <w:r w:rsidR="00CF74D9">
        <w:rPr>
          <w:i/>
          <w:sz w:val="24"/>
          <w:szCs w:val="24"/>
        </w:rPr>
        <w:t>1</w:t>
      </w:r>
      <w:r w:rsidR="00CF74D9">
        <w:rPr>
          <w:sz w:val="24"/>
          <w:szCs w:val="24"/>
        </w:rPr>
        <w:t>72(2):</w:t>
      </w:r>
      <w:r w:rsidRPr="00CF74D9">
        <w:rPr>
          <w:sz w:val="24"/>
          <w:szCs w:val="24"/>
        </w:rPr>
        <w:t xml:space="preserve">427-442. </w:t>
      </w:r>
    </w:p>
    <w:p w:rsidR="00712392" w:rsidRPr="00CF74D9" w:rsidRDefault="00712392" w:rsidP="00CF74D9">
      <w:pPr>
        <w:autoSpaceDE w:val="0"/>
        <w:autoSpaceDN w:val="0"/>
        <w:adjustRightInd w:val="0"/>
        <w:ind w:left="720" w:hanging="720"/>
        <w:rPr>
          <w:sz w:val="24"/>
          <w:szCs w:val="24"/>
        </w:rPr>
      </w:pPr>
      <w:r w:rsidRPr="00CF74D9">
        <w:rPr>
          <w:sz w:val="24"/>
          <w:szCs w:val="24"/>
        </w:rPr>
        <w:t>Brown, L.A. and Moore, E.G. (1970)</w:t>
      </w:r>
      <w:r w:rsidR="00CF74D9">
        <w:rPr>
          <w:sz w:val="24"/>
          <w:szCs w:val="24"/>
        </w:rPr>
        <w:t>,</w:t>
      </w:r>
      <w:r w:rsidRPr="00CF74D9">
        <w:rPr>
          <w:sz w:val="24"/>
          <w:szCs w:val="24"/>
        </w:rPr>
        <w:t xml:space="preserve"> </w:t>
      </w:r>
      <w:proofErr w:type="gramStart"/>
      <w:r w:rsidRPr="00CF74D9">
        <w:rPr>
          <w:sz w:val="24"/>
          <w:szCs w:val="24"/>
        </w:rPr>
        <w:t>The</w:t>
      </w:r>
      <w:proofErr w:type="gramEnd"/>
      <w:r w:rsidRPr="00CF74D9">
        <w:rPr>
          <w:sz w:val="24"/>
          <w:szCs w:val="24"/>
        </w:rPr>
        <w:t xml:space="preserve"> Intra-Urban Migration Process: A Perspective,</w:t>
      </w:r>
      <w:r w:rsidR="00CF74D9">
        <w:rPr>
          <w:sz w:val="24"/>
          <w:szCs w:val="24"/>
        </w:rPr>
        <w:t xml:space="preserve"> </w:t>
      </w:r>
      <w:proofErr w:type="spellStart"/>
      <w:r w:rsidRPr="00CF74D9">
        <w:rPr>
          <w:i/>
          <w:sz w:val="24"/>
          <w:szCs w:val="24"/>
        </w:rPr>
        <w:t>Geografiska</w:t>
      </w:r>
      <w:proofErr w:type="spellEnd"/>
      <w:r w:rsidRPr="00CF74D9">
        <w:rPr>
          <w:i/>
          <w:sz w:val="24"/>
          <w:szCs w:val="24"/>
        </w:rPr>
        <w:t xml:space="preserve"> </w:t>
      </w:r>
      <w:proofErr w:type="spellStart"/>
      <w:r w:rsidRPr="00CF74D9">
        <w:rPr>
          <w:i/>
          <w:sz w:val="24"/>
          <w:szCs w:val="24"/>
        </w:rPr>
        <w:t>Annaler</w:t>
      </w:r>
      <w:proofErr w:type="spellEnd"/>
      <w:r w:rsidRPr="00CF74D9">
        <w:rPr>
          <w:sz w:val="24"/>
          <w:szCs w:val="24"/>
        </w:rPr>
        <w:t>, 52B, 368–381.</w:t>
      </w:r>
    </w:p>
    <w:p w:rsidR="00712392" w:rsidRPr="00CF74D9" w:rsidRDefault="00712392" w:rsidP="00CF74D9">
      <w:pPr>
        <w:autoSpaceDE w:val="0"/>
        <w:autoSpaceDN w:val="0"/>
        <w:adjustRightInd w:val="0"/>
        <w:ind w:left="720" w:hanging="720"/>
        <w:rPr>
          <w:sz w:val="24"/>
          <w:szCs w:val="24"/>
        </w:rPr>
      </w:pPr>
      <w:proofErr w:type="spellStart"/>
      <w:r w:rsidRPr="00CF74D9">
        <w:rPr>
          <w:sz w:val="24"/>
          <w:szCs w:val="24"/>
        </w:rPr>
        <w:t>Clark</w:t>
      </w:r>
      <w:proofErr w:type="gramStart"/>
      <w:r w:rsidRPr="00CF74D9">
        <w:rPr>
          <w:sz w:val="24"/>
          <w:szCs w:val="24"/>
        </w:rPr>
        <w:t>,W.A.V</w:t>
      </w:r>
      <w:proofErr w:type="spellEnd"/>
      <w:proofErr w:type="gramEnd"/>
      <w:r w:rsidRPr="00CF74D9">
        <w:rPr>
          <w:sz w:val="24"/>
          <w:szCs w:val="24"/>
        </w:rPr>
        <w:t xml:space="preserve">. and </w:t>
      </w:r>
      <w:proofErr w:type="spellStart"/>
      <w:r w:rsidRPr="00CF74D9">
        <w:rPr>
          <w:sz w:val="24"/>
          <w:szCs w:val="24"/>
        </w:rPr>
        <w:t>Dieleman</w:t>
      </w:r>
      <w:proofErr w:type="spellEnd"/>
      <w:r w:rsidRPr="00CF74D9">
        <w:rPr>
          <w:sz w:val="24"/>
          <w:szCs w:val="24"/>
        </w:rPr>
        <w:t>, F.M. (1996) Households and Housing: Choice and Outcomes in</w:t>
      </w:r>
      <w:r w:rsidR="00CF74D9">
        <w:rPr>
          <w:sz w:val="24"/>
          <w:szCs w:val="24"/>
        </w:rPr>
        <w:t xml:space="preserve"> </w:t>
      </w:r>
      <w:r w:rsidRPr="00CF74D9">
        <w:rPr>
          <w:sz w:val="24"/>
          <w:szCs w:val="24"/>
        </w:rPr>
        <w:t>the Housing Market, CUPR Press, Rutgers University, New Jersey.</w:t>
      </w:r>
    </w:p>
    <w:p w:rsidR="0011313D" w:rsidRPr="00CF74D9" w:rsidRDefault="0011313D" w:rsidP="00CF74D9">
      <w:pPr>
        <w:autoSpaceDE w:val="0"/>
        <w:autoSpaceDN w:val="0"/>
        <w:adjustRightInd w:val="0"/>
        <w:ind w:left="720" w:hanging="720"/>
        <w:rPr>
          <w:sz w:val="24"/>
          <w:szCs w:val="24"/>
        </w:rPr>
      </w:pPr>
      <w:proofErr w:type="spellStart"/>
      <w:r w:rsidRPr="00CF74D9">
        <w:rPr>
          <w:sz w:val="24"/>
          <w:szCs w:val="24"/>
        </w:rPr>
        <w:t>Englehardt</w:t>
      </w:r>
      <w:proofErr w:type="spellEnd"/>
      <w:r w:rsidRPr="00CF74D9">
        <w:rPr>
          <w:sz w:val="24"/>
          <w:szCs w:val="24"/>
        </w:rPr>
        <w:t xml:space="preserve">, G.V. (2003) Nominal loss aversion, housing equity constraints, and household mobility: evidence from the United States. </w:t>
      </w:r>
      <w:r w:rsidRPr="00CF74D9">
        <w:rPr>
          <w:i/>
          <w:sz w:val="24"/>
          <w:szCs w:val="24"/>
        </w:rPr>
        <w:t xml:space="preserve">Journal of Urban Economics </w:t>
      </w:r>
      <w:r w:rsidRPr="00CF74D9">
        <w:rPr>
          <w:sz w:val="24"/>
          <w:szCs w:val="24"/>
        </w:rPr>
        <w:t>53: 171–195.</w:t>
      </w:r>
    </w:p>
    <w:p w:rsidR="00712392" w:rsidRPr="00CF74D9" w:rsidRDefault="00712392" w:rsidP="00CF74D9">
      <w:pPr>
        <w:autoSpaceDE w:val="0"/>
        <w:autoSpaceDN w:val="0"/>
        <w:adjustRightInd w:val="0"/>
        <w:ind w:left="720" w:hanging="720"/>
        <w:rPr>
          <w:sz w:val="24"/>
          <w:szCs w:val="24"/>
        </w:rPr>
      </w:pPr>
      <w:proofErr w:type="spellStart"/>
      <w:r w:rsidRPr="00CF74D9">
        <w:rPr>
          <w:sz w:val="24"/>
          <w:szCs w:val="24"/>
        </w:rPr>
        <w:t>Feijten</w:t>
      </w:r>
      <w:proofErr w:type="spellEnd"/>
      <w:r w:rsidRPr="00CF74D9">
        <w:rPr>
          <w:sz w:val="24"/>
          <w:szCs w:val="24"/>
        </w:rPr>
        <w:t xml:space="preserve">, P. &amp; </w:t>
      </w:r>
      <w:proofErr w:type="spellStart"/>
      <w:r w:rsidRPr="00CF74D9">
        <w:rPr>
          <w:sz w:val="24"/>
          <w:szCs w:val="24"/>
        </w:rPr>
        <w:t>Mulder</w:t>
      </w:r>
      <w:proofErr w:type="spellEnd"/>
      <w:r w:rsidRPr="00CF74D9">
        <w:rPr>
          <w:sz w:val="24"/>
          <w:szCs w:val="24"/>
        </w:rPr>
        <w:t xml:space="preserve">, C. H. (2002) </w:t>
      </w:r>
      <w:proofErr w:type="gramStart"/>
      <w:r w:rsidRPr="00CF74D9">
        <w:rPr>
          <w:sz w:val="24"/>
          <w:szCs w:val="24"/>
        </w:rPr>
        <w:t>The</w:t>
      </w:r>
      <w:proofErr w:type="gramEnd"/>
      <w:r w:rsidRPr="00CF74D9">
        <w:rPr>
          <w:sz w:val="24"/>
          <w:szCs w:val="24"/>
        </w:rPr>
        <w:t xml:space="preserve"> timing of household events and housing events in the</w:t>
      </w:r>
      <w:r w:rsidR="00CF74D9">
        <w:rPr>
          <w:sz w:val="24"/>
          <w:szCs w:val="24"/>
        </w:rPr>
        <w:t xml:space="preserve"> </w:t>
      </w:r>
      <w:r w:rsidRPr="00CF74D9">
        <w:rPr>
          <w:sz w:val="24"/>
          <w:szCs w:val="24"/>
        </w:rPr>
        <w:t xml:space="preserve">Netherlands: a longitudinal perspective, </w:t>
      </w:r>
      <w:r w:rsidRPr="00CF74D9">
        <w:rPr>
          <w:i/>
          <w:iCs/>
          <w:sz w:val="24"/>
          <w:szCs w:val="24"/>
        </w:rPr>
        <w:t>Housing Studies</w:t>
      </w:r>
      <w:r w:rsidRPr="00CF74D9">
        <w:rPr>
          <w:sz w:val="24"/>
          <w:szCs w:val="24"/>
        </w:rPr>
        <w:t>, 17</w:t>
      </w:r>
      <w:r w:rsidR="00CF74D9">
        <w:rPr>
          <w:sz w:val="24"/>
          <w:szCs w:val="24"/>
        </w:rPr>
        <w:t>:</w:t>
      </w:r>
      <w:r w:rsidRPr="00CF74D9">
        <w:rPr>
          <w:sz w:val="24"/>
          <w:szCs w:val="24"/>
        </w:rPr>
        <w:t>773–792.</w:t>
      </w:r>
    </w:p>
    <w:p w:rsidR="0011313D" w:rsidRPr="00CF74D9" w:rsidRDefault="0011313D" w:rsidP="00CF74D9">
      <w:pPr>
        <w:ind w:left="720" w:hanging="720"/>
        <w:jc w:val="both"/>
        <w:rPr>
          <w:sz w:val="24"/>
          <w:szCs w:val="24"/>
        </w:rPr>
      </w:pPr>
      <w:r w:rsidRPr="00CF74D9">
        <w:rPr>
          <w:sz w:val="24"/>
          <w:szCs w:val="24"/>
        </w:rPr>
        <w:t xml:space="preserve">Ferreira, F., J. </w:t>
      </w:r>
      <w:proofErr w:type="spellStart"/>
      <w:r w:rsidRPr="00CF74D9">
        <w:rPr>
          <w:sz w:val="24"/>
          <w:szCs w:val="24"/>
        </w:rPr>
        <w:t>Gyourko</w:t>
      </w:r>
      <w:proofErr w:type="spellEnd"/>
      <w:r w:rsidRPr="00CF74D9">
        <w:rPr>
          <w:sz w:val="24"/>
          <w:szCs w:val="24"/>
        </w:rPr>
        <w:t xml:space="preserve"> and J. Tracy (2010) Housing busts and housing mobility, </w:t>
      </w:r>
      <w:r w:rsidRPr="00CF74D9">
        <w:rPr>
          <w:i/>
          <w:sz w:val="24"/>
          <w:szCs w:val="24"/>
        </w:rPr>
        <w:t xml:space="preserve">Journal of Urban Economics, </w:t>
      </w:r>
      <w:r w:rsidRPr="00CF74D9">
        <w:rPr>
          <w:sz w:val="24"/>
          <w:szCs w:val="24"/>
        </w:rPr>
        <w:t>68:34-45.</w:t>
      </w:r>
    </w:p>
    <w:p w:rsidR="00771D4A" w:rsidRPr="00CF74D9" w:rsidRDefault="00CF74D9" w:rsidP="00CF74D9">
      <w:pPr>
        <w:pStyle w:val="Heading1"/>
        <w:spacing w:before="0" w:beforeAutospacing="0" w:after="0" w:afterAutospacing="0"/>
        <w:ind w:left="720" w:hanging="720"/>
        <w:rPr>
          <w:sz w:val="24"/>
          <w:szCs w:val="24"/>
        </w:rPr>
      </w:pPr>
      <w:proofErr w:type="spellStart"/>
      <w:r>
        <w:rPr>
          <w:b w:val="0"/>
          <w:sz w:val="24"/>
          <w:szCs w:val="24"/>
        </w:rPr>
        <w:t>Helderman</w:t>
      </w:r>
      <w:proofErr w:type="spellEnd"/>
      <w:r>
        <w:rPr>
          <w:b w:val="0"/>
          <w:sz w:val="24"/>
          <w:szCs w:val="24"/>
        </w:rPr>
        <w:t xml:space="preserve">, A., </w:t>
      </w:r>
      <w:proofErr w:type="spellStart"/>
      <w:r>
        <w:rPr>
          <w:b w:val="0"/>
          <w:sz w:val="24"/>
          <w:szCs w:val="24"/>
        </w:rPr>
        <w:t>Mulder</w:t>
      </w:r>
      <w:proofErr w:type="spellEnd"/>
      <w:r>
        <w:rPr>
          <w:b w:val="0"/>
          <w:sz w:val="24"/>
          <w:szCs w:val="24"/>
        </w:rPr>
        <w:t xml:space="preserve">, C. and Van Ham, M. (2004), </w:t>
      </w:r>
      <w:proofErr w:type="gramStart"/>
      <w:r w:rsidR="00771D4A" w:rsidRPr="00CF74D9">
        <w:rPr>
          <w:b w:val="0"/>
          <w:sz w:val="24"/>
          <w:szCs w:val="24"/>
        </w:rPr>
        <w:t>The</w:t>
      </w:r>
      <w:proofErr w:type="gramEnd"/>
      <w:r w:rsidR="00771D4A" w:rsidRPr="00CF74D9">
        <w:rPr>
          <w:b w:val="0"/>
          <w:sz w:val="24"/>
          <w:szCs w:val="24"/>
        </w:rPr>
        <w:t xml:space="preserve"> changing effect of home ownership on residential mobility in the Netherlands, 1980-98</w:t>
      </w:r>
      <w:r>
        <w:rPr>
          <w:b w:val="0"/>
          <w:sz w:val="24"/>
          <w:szCs w:val="24"/>
        </w:rPr>
        <w:t>,</w:t>
      </w:r>
      <w:r w:rsidR="00771D4A" w:rsidRPr="00CF74D9">
        <w:rPr>
          <w:sz w:val="24"/>
          <w:szCs w:val="24"/>
        </w:rPr>
        <w:t xml:space="preserve"> </w:t>
      </w:r>
      <w:r w:rsidRPr="00CF74D9">
        <w:rPr>
          <w:b w:val="0"/>
          <w:i/>
          <w:sz w:val="24"/>
          <w:szCs w:val="24"/>
        </w:rPr>
        <w:t>Housing Studies</w:t>
      </w:r>
      <w:r w:rsidR="00771D4A" w:rsidRPr="00CF74D9">
        <w:rPr>
          <w:sz w:val="24"/>
          <w:szCs w:val="24"/>
        </w:rPr>
        <w:t xml:space="preserve">, </w:t>
      </w:r>
      <w:r>
        <w:rPr>
          <w:b w:val="0"/>
          <w:sz w:val="24"/>
          <w:szCs w:val="24"/>
        </w:rPr>
        <w:t>19(4):</w:t>
      </w:r>
      <w:r w:rsidR="00771D4A" w:rsidRPr="00CF74D9">
        <w:rPr>
          <w:b w:val="0"/>
          <w:sz w:val="24"/>
          <w:szCs w:val="24"/>
        </w:rPr>
        <w:t>601-616(16)</w:t>
      </w:r>
    </w:p>
    <w:p w:rsidR="0011313D" w:rsidRPr="00CF74D9" w:rsidRDefault="0011313D" w:rsidP="00CF74D9">
      <w:pPr>
        <w:ind w:left="720" w:hanging="720"/>
        <w:jc w:val="both"/>
        <w:rPr>
          <w:sz w:val="24"/>
          <w:szCs w:val="24"/>
        </w:rPr>
      </w:pPr>
      <w:proofErr w:type="spellStart"/>
      <w:r w:rsidRPr="00CF74D9">
        <w:rPr>
          <w:sz w:val="24"/>
          <w:szCs w:val="24"/>
        </w:rPr>
        <w:t>Holmans</w:t>
      </w:r>
      <w:proofErr w:type="spellEnd"/>
      <w:r w:rsidRPr="00CF74D9">
        <w:rPr>
          <w:sz w:val="24"/>
          <w:szCs w:val="24"/>
        </w:rPr>
        <w:t xml:space="preserve">, A. (1988) </w:t>
      </w:r>
      <w:r w:rsidRPr="00CF74D9">
        <w:rPr>
          <w:i/>
          <w:sz w:val="24"/>
          <w:szCs w:val="24"/>
        </w:rPr>
        <w:t>House Prices</w:t>
      </w:r>
      <w:r w:rsidRPr="00CF74D9">
        <w:rPr>
          <w:sz w:val="24"/>
          <w:szCs w:val="24"/>
        </w:rPr>
        <w:t xml:space="preserve">. </w:t>
      </w:r>
      <w:proofErr w:type="gramStart"/>
      <w:r w:rsidRPr="00CF74D9">
        <w:rPr>
          <w:sz w:val="24"/>
          <w:szCs w:val="24"/>
        </w:rPr>
        <w:t>HMAS Directorate Analytical Paper.</w:t>
      </w:r>
      <w:proofErr w:type="gramEnd"/>
      <w:r w:rsidRPr="00CF74D9">
        <w:rPr>
          <w:sz w:val="24"/>
          <w:szCs w:val="24"/>
        </w:rPr>
        <w:t xml:space="preserve"> </w:t>
      </w:r>
      <w:proofErr w:type="gramStart"/>
      <w:r w:rsidRPr="00CF74D9">
        <w:rPr>
          <w:sz w:val="24"/>
          <w:szCs w:val="24"/>
        </w:rPr>
        <w:t>Department of the Environment.</w:t>
      </w:r>
      <w:proofErr w:type="gramEnd"/>
    </w:p>
    <w:p w:rsidR="00712392" w:rsidRPr="00CF74D9" w:rsidRDefault="00712392" w:rsidP="00CF74D9">
      <w:pPr>
        <w:ind w:left="720" w:hanging="720"/>
        <w:jc w:val="both"/>
        <w:rPr>
          <w:sz w:val="24"/>
          <w:szCs w:val="24"/>
        </w:rPr>
      </w:pPr>
      <w:r w:rsidRPr="00CF74D9">
        <w:rPr>
          <w:sz w:val="24"/>
          <w:szCs w:val="24"/>
        </w:rPr>
        <w:t>Kiel, K</w:t>
      </w:r>
      <w:r w:rsidR="00CF74D9">
        <w:rPr>
          <w:sz w:val="24"/>
          <w:szCs w:val="24"/>
        </w:rPr>
        <w:t>.</w:t>
      </w:r>
      <w:r w:rsidRPr="00CF74D9">
        <w:rPr>
          <w:sz w:val="24"/>
          <w:szCs w:val="24"/>
        </w:rPr>
        <w:t>A</w:t>
      </w:r>
      <w:r w:rsidR="00CF74D9">
        <w:rPr>
          <w:sz w:val="24"/>
          <w:szCs w:val="24"/>
        </w:rPr>
        <w:t>.</w:t>
      </w:r>
      <w:r w:rsidRPr="00CF74D9">
        <w:rPr>
          <w:sz w:val="24"/>
          <w:szCs w:val="24"/>
        </w:rPr>
        <w:t xml:space="preserve"> (1994) </w:t>
      </w:r>
      <w:proofErr w:type="gramStart"/>
      <w:r w:rsidRPr="00CF74D9">
        <w:rPr>
          <w:sz w:val="24"/>
          <w:szCs w:val="24"/>
        </w:rPr>
        <w:t>The</w:t>
      </w:r>
      <w:proofErr w:type="gramEnd"/>
      <w:r w:rsidRPr="00CF74D9">
        <w:rPr>
          <w:sz w:val="24"/>
          <w:szCs w:val="24"/>
        </w:rPr>
        <w:t xml:space="preserve"> Impact of Housing Price Appreciation on Household Mobility. </w:t>
      </w:r>
      <w:proofErr w:type="gramStart"/>
      <w:r w:rsidRPr="00CF74D9">
        <w:rPr>
          <w:i/>
          <w:sz w:val="24"/>
          <w:szCs w:val="24"/>
        </w:rPr>
        <w:t>Journal of Housing Economics</w:t>
      </w:r>
      <w:r w:rsidRPr="00CF74D9">
        <w:rPr>
          <w:sz w:val="24"/>
          <w:szCs w:val="24"/>
        </w:rPr>
        <w:t>.</w:t>
      </w:r>
      <w:proofErr w:type="gramEnd"/>
      <w:r w:rsidRPr="00CF74D9">
        <w:rPr>
          <w:sz w:val="24"/>
          <w:szCs w:val="24"/>
        </w:rPr>
        <w:t xml:space="preserve"> 3:92-108.</w:t>
      </w:r>
    </w:p>
    <w:p w:rsidR="00B63AE9" w:rsidRPr="00CF74D9" w:rsidRDefault="00B63AE9" w:rsidP="00CF74D9">
      <w:pPr>
        <w:ind w:left="720" w:hanging="720"/>
        <w:jc w:val="both"/>
        <w:rPr>
          <w:sz w:val="24"/>
          <w:szCs w:val="24"/>
        </w:rPr>
      </w:pPr>
      <w:proofErr w:type="spellStart"/>
      <w:r w:rsidRPr="00CF74D9">
        <w:rPr>
          <w:sz w:val="24"/>
          <w:szCs w:val="24"/>
        </w:rPr>
        <w:t>Linneman</w:t>
      </w:r>
      <w:proofErr w:type="spellEnd"/>
      <w:r w:rsidR="00CF74D9">
        <w:rPr>
          <w:sz w:val="24"/>
          <w:szCs w:val="24"/>
        </w:rPr>
        <w:t>, P. and</w:t>
      </w:r>
      <w:r w:rsidRPr="00CF74D9">
        <w:rPr>
          <w:sz w:val="24"/>
          <w:szCs w:val="24"/>
        </w:rPr>
        <w:t xml:space="preserve"> </w:t>
      </w:r>
      <w:proofErr w:type="spellStart"/>
      <w:r w:rsidRPr="00CF74D9">
        <w:rPr>
          <w:sz w:val="24"/>
          <w:szCs w:val="24"/>
        </w:rPr>
        <w:t>Wachter</w:t>
      </w:r>
      <w:proofErr w:type="spellEnd"/>
      <w:r w:rsidRPr="00CF74D9">
        <w:rPr>
          <w:sz w:val="24"/>
          <w:szCs w:val="24"/>
        </w:rPr>
        <w:t>,</w:t>
      </w:r>
      <w:r w:rsidR="00CF74D9">
        <w:rPr>
          <w:sz w:val="24"/>
          <w:szCs w:val="24"/>
        </w:rPr>
        <w:t xml:space="preserve"> S.</w:t>
      </w:r>
      <w:r w:rsidRPr="00CF74D9">
        <w:rPr>
          <w:sz w:val="24"/>
          <w:szCs w:val="24"/>
        </w:rPr>
        <w:t xml:space="preserve"> </w:t>
      </w:r>
      <w:r w:rsidR="00CF74D9">
        <w:rPr>
          <w:sz w:val="24"/>
          <w:szCs w:val="24"/>
        </w:rPr>
        <w:t>(</w:t>
      </w:r>
      <w:r w:rsidRPr="00CF74D9">
        <w:rPr>
          <w:sz w:val="24"/>
          <w:szCs w:val="24"/>
        </w:rPr>
        <w:t>1989</w:t>
      </w:r>
      <w:r w:rsidR="00CF74D9">
        <w:rPr>
          <w:sz w:val="24"/>
          <w:szCs w:val="24"/>
        </w:rPr>
        <w:t>),</w:t>
      </w:r>
      <w:r w:rsidRPr="00CF74D9">
        <w:rPr>
          <w:sz w:val="24"/>
          <w:szCs w:val="24"/>
        </w:rPr>
        <w:t xml:space="preserve"> </w:t>
      </w:r>
      <w:proofErr w:type="gramStart"/>
      <w:r w:rsidR="00CF74D9" w:rsidRPr="00CF74D9">
        <w:rPr>
          <w:bCs/>
          <w:sz w:val="24"/>
          <w:szCs w:val="24"/>
        </w:rPr>
        <w:t>The</w:t>
      </w:r>
      <w:proofErr w:type="gramEnd"/>
      <w:r w:rsidR="00CF74D9" w:rsidRPr="00CF74D9">
        <w:rPr>
          <w:bCs/>
          <w:sz w:val="24"/>
          <w:szCs w:val="24"/>
        </w:rPr>
        <w:t xml:space="preserve"> Impacts of Borrowing Constraints on Homeownership</w:t>
      </w:r>
      <w:r w:rsidR="00CF74D9">
        <w:rPr>
          <w:sz w:val="24"/>
          <w:szCs w:val="24"/>
        </w:rPr>
        <w:t>,</w:t>
      </w:r>
      <w:r w:rsidRPr="00CF74D9">
        <w:rPr>
          <w:sz w:val="24"/>
          <w:szCs w:val="24"/>
        </w:rPr>
        <w:t xml:space="preserve"> </w:t>
      </w:r>
      <w:r w:rsidR="00B85E2F" w:rsidRPr="00B85E2F">
        <w:rPr>
          <w:rStyle w:val="Emphasis"/>
          <w:sz w:val="24"/>
          <w:szCs w:val="24"/>
        </w:rPr>
        <w:t>Journal of the American Real Estate and Urban Economics Association</w:t>
      </w:r>
      <w:r w:rsidR="00B85E2F" w:rsidRPr="00B85E2F">
        <w:rPr>
          <w:sz w:val="24"/>
          <w:szCs w:val="24"/>
        </w:rPr>
        <w:t>,</w:t>
      </w:r>
      <w:r w:rsidR="00B85E2F">
        <w:rPr>
          <w:sz w:val="24"/>
          <w:szCs w:val="24"/>
        </w:rPr>
        <w:t xml:space="preserve"> </w:t>
      </w:r>
      <w:r w:rsidR="00CF74D9">
        <w:rPr>
          <w:sz w:val="24"/>
          <w:szCs w:val="24"/>
        </w:rPr>
        <w:t>17(4):</w:t>
      </w:r>
      <w:r w:rsidRPr="00CF74D9">
        <w:rPr>
          <w:sz w:val="24"/>
          <w:szCs w:val="24"/>
        </w:rPr>
        <w:t xml:space="preserve">389-402. </w:t>
      </w:r>
    </w:p>
    <w:p w:rsidR="00BA5F9E" w:rsidRPr="00B85E2F" w:rsidRDefault="00B85E2F" w:rsidP="00CF74D9">
      <w:pPr>
        <w:ind w:left="720" w:hanging="720"/>
        <w:rPr>
          <w:sz w:val="24"/>
          <w:szCs w:val="24"/>
        </w:rPr>
      </w:pPr>
      <w:proofErr w:type="spellStart"/>
      <w:r>
        <w:rPr>
          <w:sz w:val="24"/>
          <w:szCs w:val="24"/>
        </w:rPr>
        <w:t>Mulder</w:t>
      </w:r>
      <w:proofErr w:type="spellEnd"/>
      <w:r>
        <w:rPr>
          <w:sz w:val="24"/>
          <w:szCs w:val="24"/>
        </w:rPr>
        <w:t xml:space="preserve">, C. (1996), Housing choice: Assumptions and approaches, </w:t>
      </w:r>
      <w:r w:rsidR="00CF74D9" w:rsidRPr="00B85E2F">
        <w:rPr>
          <w:i/>
          <w:sz w:val="24"/>
          <w:szCs w:val="24"/>
        </w:rPr>
        <w:t>Journal of Housing and the Built Environment</w:t>
      </w:r>
      <w:r>
        <w:rPr>
          <w:sz w:val="24"/>
          <w:szCs w:val="24"/>
        </w:rPr>
        <w:t>, 11(3):209-232</w:t>
      </w:r>
      <w:r w:rsidR="00BA5F9E" w:rsidRPr="00B85E2F">
        <w:rPr>
          <w:sz w:val="24"/>
          <w:szCs w:val="24"/>
        </w:rPr>
        <w:t xml:space="preserve"> </w:t>
      </w:r>
    </w:p>
    <w:p w:rsidR="001A1936" w:rsidRPr="00CF74D9" w:rsidRDefault="001A1936" w:rsidP="00CF74D9">
      <w:pPr>
        <w:ind w:left="720" w:hanging="720"/>
        <w:jc w:val="both"/>
        <w:rPr>
          <w:sz w:val="24"/>
          <w:szCs w:val="24"/>
        </w:rPr>
      </w:pPr>
      <w:proofErr w:type="spellStart"/>
      <w:proofErr w:type="gramStart"/>
      <w:r w:rsidRPr="00CF74D9">
        <w:rPr>
          <w:sz w:val="24"/>
          <w:szCs w:val="24"/>
        </w:rPr>
        <w:t>Rabe</w:t>
      </w:r>
      <w:proofErr w:type="spellEnd"/>
      <w:r w:rsidR="00B85E2F">
        <w:rPr>
          <w:sz w:val="24"/>
          <w:szCs w:val="24"/>
        </w:rPr>
        <w:t>, B. and</w:t>
      </w:r>
      <w:r w:rsidRPr="00CF74D9">
        <w:rPr>
          <w:sz w:val="24"/>
          <w:szCs w:val="24"/>
        </w:rPr>
        <w:t xml:space="preserve"> Taylor, </w:t>
      </w:r>
      <w:r w:rsidR="00B85E2F">
        <w:rPr>
          <w:sz w:val="24"/>
          <w:szCs w:val="24"/>
        </w:rPr>
        <w:t>M. (</w:t>
      </w:r>
      <w:r w:rsidRPr="00CF74D9">
        <w:rPr>
          <w:sz w:val="24"/>
          <w:szCs w:val="24"/>
        </w:rPr>
        <w:t>2010</w:t>
      </w:r>
      <w:r w:rsidR="00B85E2F">
        <w:rPr>
          <w:sz w:val="24"/>
          <w:szCs w:val="24"/>
        </w:rPr>
        <w:t>)</w:t>
      </w:r>
      <w:r w:rsidRPr="00CF74D9">
        <w:rPr>
          <w:sz w:val="24"/>
          <w:szCs w:val="24"/>
        </w:rPr>
        <w:t>.</w:t>
      </w:r>
      <w:proofErr w:type="gramEnd"/>
      <w:r w:rsidRPr="00CF74D9">
        <w:rPr>
          <w:sz w:val="24"/>
          <w:szCs w:val="24"/>
        </w:rPr>
        <w:t xml:space="preserve"> </w:t>
      </w:r>
      <w:r w:rsidR="00B85E2F" w:rsidRPr="00B85E2F">
        <w:rPr>
          <w:bCs/>
          <w:sz w:val="24"/>
          <w:szCs w:val="24"/>
        </w:rPr>
        <w:t>Residential mobility, quality of neighbourhood and life course events</w:t>
      </w:r>
      <w:r w:rsidR="00B85E2F">
        <w:rPr>
          <w:sz w:val="24"/>
          <w:szCs w:val="24"/>
        </w:rPr>
        <w:t>,</w:t>
      </w:r>
      <w:r w:rsidRPr="00CF74D9">
        <w:rPr>
          <w:sz w:val="24"/>
          <w:szCs w:val="24"/>
        </w:rPr>
        <w:t xml:space="preserve"> </w:t>
      </w:r>
      <w:r w:rsidR="00B85E2F" w:rsidRPr="00B85E2F">
        <w:rPr>
          <w:i/>
          <w:sz w:val="24"/>
          <w:szCs w:val="24"/>
        </w:rPr>
        <w:t>Journal of the Royal Statistical Society Series A</w:t>
      </w:r>
      <w:r w:rsidRPr="00CF74D9">
        <w:rPr>
          <w:sz w:val="24"/>
          <w:szCs w:val="24"/>
        </w:rPr>
        <w:t>, 173(3)</w:t>
      </w:r>
      <w:r w:rsidR="00B85E2F">
        <w:rPr>
          <w:sz w:val="24"/>
          <w:szCs w:val="24"/>
        </w:rPr>
        <w:t>:</w:t>
      </w:r>
      <w:r w:rsidRPr="00CF74D9">
        <w:rPr>
          <w:sz w:val="24"/>
          <w:szCs w:val="24"/>
        </w:rPr>
        <w:t>531-555.</w:t>
      </w:r>
    </w:p>
    <w:p w:rsidR="00712392" w:rsidRPr="00CF74D9" w:rsidRDefault="00712392" w:rsidP="00CF74D9">
      <w:pPr>
        <w:ind w:left="720" w:hanging="720"/>
        <w:jc w:val="both"/>
        <w:rPr>
          <w:sz w:val="24"/>
          <w:szCs w:val="24"/>
        </w:rPr>
      </w:pPr>
      <w:proofErr w:type="gramStart"/>
      <w:r w:rsidRPr="00CF74D9">
        <w:rPr>
          <w:sz w:val="24"/>
          <w:szCs w:val="24"/>
        </w:rPr>
        <w:t xml:space="preserve">Rossi, P.H. [1955] (1980) </w:t>
      </w:r>
      <w:r w:rsidRPr="00B85E2F">
        <w:rPr>
          <w:i/>
          <w:sz w:val="24"/>
          <w:szCs w:val="24"/>
        </w:rPr>
        <w:t>Why Families Move</w:t>
      </w:r>
      <w:r w:rsidRPr="00CF74D9">
        <w:rPr>
          <w:sz w:val="24"/>
          <w:szCs w:val="24"/>
        </w:rPr>
        <w:t>, Sage Publications, Beverly Hills and London.</w:t>
      </w:r>
      <w:proofErr w:type="gramEnd"/>
    </w:p>
    <w:p w:rsidR="0011313D" w:rsidRPr="00CF74D9" w:rsidRDefault="0011313D" w:rsidP="00CF74D9">
      <w:pPr>
        <w:ind w:left="720" w:hanging="720"/>
        <w:jc w:val="both"/>
        <w:rPr>
          <w:sz w:val="24"/>
          <w:szCs w:val="24"/>
        </w:rPr>
      </w:pPr>
      <w:r w:rsidRPr="00CF74D9">
        <w:rPr>
          <w:sz w:val="24"/>
          <w:szCs w:val="24"/>
        </w:rPr>
        <w:t xml:space="preserve">Stein, J. (1995), Prices and trading volume in the housing market: A model with down-payment effects, </w:t>
      </w:r>
      <w:r w:rsidRPr="00CF74D9">
        <w:rPr>
          <w:i/>
          <w:sz w:val="24"/>
          <w:szCs w:val="24"/>
        </w:rPr>
        <w:t>The Quarterly Journal of Economics</w:t>
      </w:r>
      <w:r w:rsidRPr="00CF74D9">
        <w:rPr>
          <w:sz w:val="24"/>
          <w:szCs w:val="24"/>
        </w:rPr>
        <w:t>, 110:379-46.</w:t>
      </w:r>
    </w:p>
    <w:p w:rsidR="00AE28EE" w:rsidRPr="00CF74D9" w:rsidRDefault="00AE28EE" w:rsidP="00CF74D9">
      <w:pPr>
        <w:ind w:left="720" w:hanging="720"/>
        <w:jc w:val="both"/>
        <w:rPr>
          <w:sz w:val="24"/>
          <w:szCs w:val="24"/>
        </w:rPr>
      </w:pPr>
      <w:proofErr w:type="spellStart"/>
      <w:proofErr w:type="gramStart"/>
      <w:r w:rsidRPr="00CF74D9">
        <w:rPr>
          <w:sz w:val="24"/>
          <w:szCs w:val="24"/>
        </w:rPr>
        <w:t>Venti</w:t>
      </w:r>
      <w:proofErr w:type="spellEnd"/>
      <w:r w:rsidRPr="00CF74D9">
        <w:rPr>
          <w:sz w:val="24"/>
          <w:szCs w:val="24"/>
        </w:rPr>
        <w:t>, S</w:t>
      </w:r>
      <w:r w:rsidR="00B85E2F">
        <w:rPr>
          <w:sz w:val="24"/>
          <w:szCs w:val="24"/>
        </w:rPr>
        <w:t>.</w:t>
      </w:r>
      <w:r w:rsidRPr="00CF74D9">
        <w:rPr>
          <w:sz w:val="24"/>
          <w:szCs w:val="24"/>
        </w:rPr>
        <w:t>F. &amp; Wise, D</w:t>
      </w:r>
      <w:r w:rsidR="00B85E2F">
        <w:rPr>
          <w:sz w:val="24"/>
          <w:szCs w:val="24"/>
        </w:rPr>
        <w:t>.A.</w:t>
      </w:r>
      <w:r w:rsidRPr="00CF74D9">
        <w:rPr>
          <w:sz w:val="24"/>
          <w:szCs w:val="24"/>
        </w:rPr>
        <w:t xml:space="preserve"> </w:t>
      </w:r>
      <w:r w:rsidR="00B85E2F">
        <w:rPr>
          <w:sz w:val="24"/>
          <w:szCs w:val="24"/>
        </w:rPr>
        <w:t>(</w:t>
      </w:r>
      <w:r w:rsidRPr="00CF74D9">
        <w:rPr>
          <w:sz w:val="24"/>
          <w:szCs w:val="24"/>
        </w:rPr>
        <w:t>1984</w:t>
      </w:r>
      <w:r w:rsidR="00B85E2F">
        <w:rPr>
          <w:sz w:val="24"/>
          <w:szCs w:val="24"/>
        </w:rPr>
        <w:t>)</w:t>
      </w:r>
      <w:r w:rsidRPr="00CF74D9">
        <w:rPr>
          <w:sz w:val="24"/>
          <w:szCs w:val="24"/>
        </w:rPr>
        <w:t>.</w:t>
      </w:r>
      <w:proofErr w:type="gramEnd"/>
      <w:r w:rsidRPr="00CF74D9">
        <w:rPr>
          <w:sz w:val="24"/>
          <w:szCs w:val="24"/>
        </w:rPr>
        <w:t xml:space="preserve"> </w:t>
      </w:r>
      <w:r w:rsidR="00B85E2F" w:rsidRPr="00B85E2F">
        <w:rPr>
          <w:bCs/>
          <w:sz w:val="24"/>
          <w:szCs w:val="24"/>
        </w:rPr>
        <w:t>Moving and housing expenditure: Transaction costs and disequilibrium</w:t>
      </w:r>
      <w:r w:rsidR="00B85E2F">
        <w:rPr>
          <w:sz w:val="24"/>
          <w:szCs w:val="24"/>
        </w:rPr>
        <w:t>,</w:t>
      </w:r>
      <w:r w:rsidRPr="00CF74D9">
        <w:rPr>
          <w:sz w:val="24"/>
          <w:szCs w:val="24"/>
        </w:rPr>
        <w:t xml:space="preserve"> </w:t>
      </w:r>
      <w:r w:rsidR="00B85E2F" w:rsidRPr="00B85E2F">
        <w:rPr>
          <w:i/>
          <w:sz w:val="24"/>
          <w:szCs w:val="24"/>
        </w:rPr>
        <w:t>Journal of Public Economics</w:t>
      </w:r>
      <w:r w:rsidRPr="00CF74D9">
        <w:rPr>
          <w:sz w:val="24"/>
          <w:szCs w:val="24"/>
        </w:rPr>
        <w:t xml:space="preserve">, </w:t>
      </w:r>
      <w:r w:rsidR="00B85E2F">
        <w:rPr>
          <w:sz w:val="24"/>
          <w:szCs w:val="24"/>
        </w:rPr>
        <w:t>23(1-2):</w:t>
      </w:r>
      <w:r w:rsidRPr="00CF74D9">
        <w:rPr>
          <w:sz w:val="24"/>
          <w:szCs w:val="24"/>
        </w:rPr>
        <w:t xml:space="preserve"> 207-243. </w:t>
      </w:r>
    </w:p>
    <w:p w:rsidR="0011313D" w:rsidRPr="00CF74D9" w:rsidRDefault="0011313D" w:rsidP="00CF74D9">
      <w:pPr>
        <w:ind w:left="720" w:hanging="720"/>
        <w:jc w:val="both"/>
        <w:rPr>
          <w:sz w:val="24"/>
          <w:szCs w:val="24"/>
        </w:rPr>
      </w:pPr>
      <w:proofErr w:type="gramStart"/>
      <w:r w:rsidRPr="00CF74D9">
        <w:rPr>
          <w:sz w:val="24"/>
          <w:szCs w:val="24"/>
        </w:rPr>
        <w:t xml:space="preserve">Wheaton, W. (1990), Vacancy, search, and prices in a housing market matching model, </w:t>
      </w:r>
      <w:r w:rsidRPr="00CF74D9">
        <w:rPr>
          <w:i/>
          <w:sz w:val="24"/>
          <w:szCs w:val="24"/>
        </w:rPr>
        <w:t>Journal of Political Economy</w:t>
      </w:r>
      <w:r w:rsidRPr="00CF74D9">
        <w:rPr>
          <w:sz w:val="24"/>
          <w:szCs w:val="24"/>
        </w:rPr>
        <w:t>, 98:1270-1292.</w:t>
      </w:r>
      <w:proofErr w:type="gramEnd"/>
    </w:p>
    <w:p w:rsidR="0011313D" w:rsidRPr="00BD4D38" w:rsidRDefault="0011313D" w:rsidP="0011313D">
      <w:pPr>
        <w:spacing w:line="480" w:lineRule="auto"/>
        <w:jc w:val="both"/>
        <w:rPr>
          <w:sz w:val="24"/>
          <w:szCs w:val="24"/>
        </w:rPr>
      </w:pPr>
    </w:p>
    <w:p w:rsidR="00210E9F" w:rsidRPr="00210E9F" w:rsidRDefault="00210E9F" w:rsidP="00B62356">
      <w:pPr>
        <w:spacing w:line="480" w:lineRule="auto"/>
        <w:rPr>
          <w:szCs w:val="24"/>
        </w:rPr>
      </w:pPr>
    </w:p>
    <w:sectPr w:rsidR="00210E9F" w:rsidRPr="00210E9F" w:rsidSect="00961F1C">
      <w:footerReference w:type="default" r:id="rId10"/>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0D" w:rsidRDefault="00517E0D" w:rsidP="00BF742B">
      <w:r>
        <w:separator/>
      </w:r>
    </w:p>
  </w:endnote>
  <w:endnote w:type="continuationSeparator" w:id="0">
    <w:p w:rsidR="00517E0D" w:rsidRDefault="00517E0D" w:rsidP="00BF7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0D" w:rsidRDefault="00BB242E">
    <w:pPr>
      <w:pStyle w:val="Footer"/>
      <w:jc w:val="right"/>
    </w:pPr>
    <w:fldSimple w:instr=" PAGE   \* MERGEFORMAT ">
      <w:r w:rsidR="00C52FF9">
        <w:rPr>
          <w:noProof/>
        </w:rPr>
        <w:t>3</w:t>
      </w:r>
    </w:fldSimple>
  </w:p>
  <w:p w:rsidR="00517E0D" w:rsidRDefault="00517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0D" w:rsidRDefault="00517E0D" w:rsidP="00BF742B">
      <w:r>
        <w:separator/>
      </w:r>
    </w:p>
  </w:footnote>
  <w:footnote w:type="continuationSeparator" w:id="0">
    <w:p w:rsidR="00517E0D" w:rsidRDefault="00517E0D" w:rsidP="00BF742B">
      <w:r>
        <w:continuationSeparator/>
      </w:r>
    </w:p>
  </w:footnote>
  <w:footnote w:id="1">
    <w:p w:rsidR="00517E0D" w:rsidRDefault="00517E0D" w:rsidP="000A7034">
      <w:pPr>
        <w:pStyle w:val="FootnoteText"/>
        <w:jc w:val="both"/>
      </w:pPr>
      <w:r>
        <w:rPr>
          <w:rStyle w:val="FootnoteReference"/>
        </w:rPr>
        <w:footnoteRef/>
      </w:r>
      <w:r>
        <w:t xml:space="preserve"> Property transactions are not exclusively related to residences, but the vast majority are (e.g. 1.4 million out of 1.6 million in 2002.</w:t>
      </w:r>
    </w:p>
  </w:footnote>
  <w:footnote w:id="2">
    <w:p w:rsidR="00517E0D" w:rsidRPr="00263DB1" w:rsidRDefault="00517E0D" w:rsidP="000A7034">
      <w:pPr>
        <w:pStyle w:val="FootnoteText"/>
        <w:jc w:val="both"/>
      </w:pPr>
      <w:r>
        <w:rPr>
          <w:rStyle w:val="FootnoteReference"/>
        </w:rPr>
        <w:footnoteRef/>
      </w:r>
      <w:r>
        <w:t xml:space="preserve"> The real price of existing houses for 1959-1983 comes from </w:t>
      </w:r>
      <w:proofErr w:type="spellStart"/>
      <w:r>
        <w:t>Holmans</w:t>
      </w:r>
      <w:proofErr w:type="spellEnd"/>
      <w:r>
        <w:t xml:space="preserve"> (1988), Table A1; and the nominal price of existing houses for 1983-2008 is from</w:t>
      </w:r>
      <w:r w:rsidRPr="00263DB1">
        <w:t xml:space="preserve"> the </w:t>
      </w:r>
      <w:smartTag w:uri="urn:schemas-microsoft-com:office:smarttags" w:element="City">
        <w:smartTag w:uri="urn:schemas-microsoft-com:office:smarttags" w:element="place">
          <w:r w:rsidRPr="00263DB1">
            <w:t>Halifax</w:t>
          </w:r>
        </w:smartTag>
      </w:smartTag>
      <w:r w:rsidRPr="00263DB1">
        <w:t xml:space="preserve"> price index for existing homes</w:t>
      </w:r>
      <w:r>
        <w:t xml:space="preserve">, which is deflated by </w:t>
      </w:r>
      <w:r w:rsidRPr="00263DB1">
        <w:t xml:space="preserve">the </w:t>
      </w:r>
      <w:smartTag w:uri="urn:schemas-microsoft-com:office:smarttags" w:element="stockticker">
        <w:r w:rsidRPr="00263DB1">
          <w:t>RPI</w:t>
        </w:r>
      </w:smartTag>
      <w:r w:rsidRPr="00263DB1">
        <w:t>, excluding housing costs</w:t>
      </w:r>
      <w:r>
        <w:t>.</w:t>
      </w:r>
    </w:p>
  </w:footnote>
  <w:footnote w:id="3">
    <w:p w:rsidR="00517E0D" w:rsidRDefault="00517E0D" w:rsidP="000A7034">
      <w:pPr>
        <w:pStyle w:val="FootnoteText"/>
      </w:pPr>
      <w:r>
        <w:rPr>
          <w:rStyle w:val="FootnoteReference"/>
        </w:rPr>
        <w:footnoteRef/>
      </w:r>
      <w:r>
        <w:t xml:space="preserve"> A positive correlation between the real house price and property transactions is also consistent with Stein’s (1995) theoretical model, which emphasises a down payment requirement and the existence of liquidity constraints for some households.  </w:t>
      </w:r>
    </w:p>
  </w:footnote>
  <w:footnote w:id="4">
    <w:p w:rsidR="00517E0D" w:rsidRDefault="00517E0D">
      <w:pPr>
        <w:pStyle w:val="FootnoteText"/>
      </w:pPr>
      <w:r>
        <w:rPr>
          <w:rStyle w:val="FootnoteReference"/>
        </w:rPr>
        <w:footnoteRef/>
      </w:r>
      <w:r>
        <w:t xml:space="preserve"> Our focus in this model is on the effects of wealth constraints on mobility as captured by the equity ratio. Household members also potentially face income-related constraints associated with debt-financing of residential property, such as maximum mortgage payment-to-income ratios (</w:t>
      </w:r>
      <w:proofErr w:type="spellStart"/>
      <w:r>
        <w:t>Linneman</w:t>
      </w:r>
      <w:proofErr w:type="spellEnd"/>
      <w:r>
        <w:t xml:space="preserve"> and </w:t>
      </w:r>
      <w:proofErr w:type="spellStart"/>
      <w:r>
        <w:t>Wachter</w:t>
      </w:r>
      <w:proofErr w:type="spellEnd"/>
      <w:r>
        <w:t xml:space="preserve">, 1989). We included controls for the level of and recent changes in household income in our empirical models and the effects were not significant, providing suggestive evidence that income-related constraints are not important in our sample.  </w:t>
      </w:r>
    </w:p>
  </w:footnote>
  <w:footnote w:id="5">
    <w:p w:rsidR="00517E0D" w:rsidRDefault="00517E0D">
      <w:pPr>
        <w:pStyle w:val="FootnoteText"/>
      </w:pPr>
      <w:r>
        <w:rPr>
          <w:rStyle w:val="FootnoteReference"/>
        </w:rPr>
        <w:footnoteRef/>
      </w:r>
      <w:r>
        <w:t xml:space="preserve"> There are other ways of </w:t>
      </w:r>
      <w:proofErr w:type="spellStart"/>
      <w:r>
        <w:t>parameterising</w:t>
      </w:r>
      <w:proofErr w:type="spellEnd"/>
      <w:r>
        <w:t xml:space="preserve"> the model, making movement a function of the mortgage amount and the relative house price.  Other studies, such as </w:t>
      </w:r>
      <w:proofErr w:type="spellStart"/>
      <w:r>
        <w:t>Englehardt</w:t>
      </w:r>
      <w:proofErr w:type="spellEnd"/>
      <w:r>
        <w:t xml:space="preserve"> (2003) and </w:t>
      </w:r>
      <w:proofErr w:type="spellStart"/>
      <w:r w:rsidRPr="003D1676">
        <w:t>Ferraria</w:t>
      </w:r>
      <w:proofErr w:type="spellEnd"/>
      <w:r w:rsidRPr="003D1676">
        <w:t xml:space="preserve"> et al. </w:t>
      </w:r>
      <w:r>
        <w:t>(</w:t>
      </w:r>
      <w:r w:rsidRPr="003D1676">
        <w:t>2010</w:t>
      </w:r>
      <w:r>
        <w:t>) exclude the relative house price from their mobility equations, but this ignores the impact of the trade-off between housing and other consumption when moving ‘upmarket’ in housing.</w:t>
      </w:r>
    </w:p>
  </w:footnote>
  <w:footnote w:id="6">
    <w:p w:rsidR="00517E0D" w:rsidRDefault="00517E0D">
      <w:pPr>
        <w:pStyle w:val="FootnoteText"/>
      </w:pPr>
      <w:r>
        <w:rPr>
          <w:rStyle w:val="FootnoteReference"/>
        </w:rPr>
        <w:footnoteRef/>
      </w:r>
      <w:r>
        <w:t xml:space="preserve"> An unfortunate consequence of the lack of Land Registry house price data for 1991-94 is that this was a period when nominal house prices were falling in most areas, which produced important within-person variation in housing equity.</w:t>
      </w:r>
    </w:p>
  </w:footnote>
  <w:footnote w:id="7">
    <w:p w:rsidR="00517E0D" w:rsidRDefault="00517E0D">
      <w:pPr>
        <w:pStyle w:val="FootnoteText"/>
      </w:pPr>
      <w:r>
        <w:rPr>
          <w:rStyle w:val="FootnoteReference"/>
        </w:rPr>
        <w:footnoteRef/>
      </w:r>
      <w:r>
        <w:t xml:space="preserve"> The marker person approach is necessary to avoid the ‘double-counting’ of moves made jointly by individuals in a couple.  Sample size is larger using women, in part because of more attrition among young men: 7887 man-year observations compared with 9638 woman-years.  In the fixed effect analysis, there are 361 men compared with 427 women.  When using men the overall residential mobility rate is 9.1 percent.</w:t>
      </w:r>
    </w:p>
  </w:footnote>
  <w:footnote w:id="8">
    <w:p w:rsidR="00517E0D" w:rsidRDefault="00517E0D" w:rsidP="001E5AEB">
      <w:pPr>
        <w:pStyle w:val="FootnoteText"/>
      </w:pPr>
      <w:r>
        <w:rPr>
          <w:rStyle w:val="FootnoteReference"/>
        </w:rPr>
        <w:footnoteRef/>
      </w:r>
      <w:r>
        <w:t xml:space="preserve"> Indeed </w:t>
      </w:r>
      <w:r w:rsidRPr="005863EF">
        <w:t>we cannot reject the hypothesis that the equity ratio has the same effects at every level</w:t>
      </w:r>
      <w:r>
        <w:t xml:space="preserve"> (p-value=0.54).</w:t>
      </w:r>
    </w:p>
  </w:footnote>
  <w:footnote w:id="9">
    <w:p w:rsidR="00517E0D" w:rsidRDefault="00517E0D">
      <w:pPr>
        <w:pStyle w:val="FootnoteText"/>
      </w:pPr>
      <w:r>
        <w:rPr>
          <w:rStyle w:val="FootnoteReference"/>
        </w:rPr>
        <w:footnoteRef/>
      </w:r>
      <w:r>
        <w:t xml:space="preserve"> If we exclude the relative house price and the local unemployment rate from the mobility equation, the impact of the equity ratio on the log-odds of movement is slightly smaller: 1.34 (SE=0.45).</w:t>
      </w:r>
    </w:p>
  </w:footnote>
  <w:footnote w:id="10">
    <w:p w:rsidR="00517E0D" w:rsidRDefault="00517E0D">
      <w:pPr>
        <w:pStyle w:val="FootnoteText"/>
      </w:pPr>
      <w:r>
        <w:rPr>
          <w:rStyle w:val="FootnoteReference"/>
        </w:rPr>
        <w:footnoteRef/>
      </w:r>
      <w:r>
        <w:t xml:space="preserve"> Similar results emerge when comparing the conditional </w:t>
      </w:r>
      <w:proofErr w:type="spellStart"/>
      <w:r>
        <w:t>logit</w:t>
      </w:r>
      <w:proofErr w:type="spellEnd"/>
      <w:r>
        <w:t xml:space="preserve"> estimates with ordinary </w:t>
      </w:r>
      <w:proofErr w:type="spellStart"/>
      <w:r>
        <w:t>logit</w:t>
      </w:r>
      <w:proofErr w:type="spellEnd"/>
      <w:r>
        <w:t xml:space="preserve"> estimates, a cross-section estimator which has been used in previous studies</w:t>
      </w:r>
    </w:p>
  </w:footnote>
  <w:footnote w:id="11">
    <w:p w:rsidR="00517E0D" w:rsidRDefault="00517E0D">
      <w:pPr>
        <w:pStyle w:val="FootnoteText"/>
      </w:pPr>
      <w:r>
        <w:rPr>
          <w:rStyle w:val="FootnoteReference"/>
        </w:rPr>
        <w:footnoteRef/>
      </w:r>
      <w:r>
        <w:t xml:space="preserve"> When using male markers, the RE estimate of the impact of the equity ratio is again significantly smaller:  0.33 (SE=0.27) compared with 1.49 for the conditional </w:t>
      </w:r>
      <w:proofErr w:type="spellStart"/>
      <w:r>
        <w:t>logit</w:t>
      </w:r>
      <w:proofErr w:type="spellEnd"/>
      <w:r>
        <w:t xml:space="preserve"> estimate,</w:t>
      </w:r>
    </w:p>
  </w:footnote>
  <w:footnote w:id="12">
    <w:p w:rsidR="00517E0D" w:rsidRDefault="00517E0D">
      <w:pPr>
        <w:pStyle w:val="FootnoteText"/>
      </w:pPr>
      <w:r>
        <w:rPr>
          <w:rStyle w:val="FootnoteReference"/>
        </w:rPr>
        <w:footnoteRef/>
      </w:r>
      <w:r>
        <w:t xml:space="preserve"> The average marginal effect is calculated using the formula P*(1-P)*</w:t>
      </w:r>
      <w:proofErr w:type="spellStart"/>
      <w:r>
        <w:t>β</w:t>
      </w:r>
      <w:r>
        <w:rPr>
          <w:vertAlign w:val="subscript"/>
        </w:rPr>
        <w:t>j</w:t>
      </w:r>
      <w:proofErr w:type="spellEnd"/>
      <w:r>
        <w:t>*</w:t>
      </w:r>
      <w:proofErr w:type="spellStart"/>
      <w:r>
        <w:t>ΔX</w:t>
      </w:r>
      <w:r>
        <w:rPr>
          <w:vertAlign w:val="subscript"/>
        </w:rPr>
        <w:t>j</w:t>
      </w:r>
      <w:proofErr w:type="spellEnd"/>
      <w:r>
        <w:t xml:space="preserve"> where P is the expected probability of success, </w:t>
      </w:r>
      <w:proofErr w:type="spellStart"/>
      <w:r>
        <w:t>β</w:t>
      </w:r>
      <w:r>
        <w:rPr>
          <w:vertAlign w:val="subscript"/>
        </w:rPr>
        <w:t>j</w:t>
      </w:r>
      <w:proofErr w:type="spellEnd"/>
      <w:r>
        <w:t xml:space="preserve"> is the coefficient of interest on the variable </w:t>
      </w:r>
      <w:proofErr w:type="spellStart"/>
      <w:r>
        <w:t>X</w:t>
      </w:r>
      <w:r>
        <w:rPr>
          <w:vertAlign w:val="subscript"/>
        </w:rPr>
        <w:t>j</w:t>
      </w:r>
      <w:proofErr w:type="spellEnd"/>
      <w:r>
        <w:t xml:space="preserve"> and </w:t>
      </w:r>
      <w:proofErr w:type="spellStart"/>
      <w:r>
        <w:t>ΔX</w:t>
      </w:r>
      <w:r>
        <w:rPr>
          <w:vertAlign w:val="subscript"/>
        </w:rPr>
        <w:t>j</w:t>
      </w:r>
      <w:proofErr w:type="spellEnd"/>
      <w:r>
        <w:t xml:space="preserve"> is the magnitude of the change in </w:t>
      </w:r>
      <w:proofErr w:type="spellStart"/>
      <w:r>
        <w:t>X</w:t>
      </w:r>
      <w:r>
        <w:rPr>
          <w:vertAlign w:val="subscript"/>
        </w:rPr>
        <w:t>j</w:t>
      </w:r>
      <w:proofErr w:type="spellEnd"/>
      <w:r>
        <w:t xml:space="preserve"> whose effect we wish to evaluate. </w:t>
      </w:r>
      <w:r>
        <w:rPr>
          <w:vertAlign w:val="subscript"/>
        </w:rPr>
        <w:t xml:space="preserve"> </w:t>
      </w:r>
      <w:r>
        <w:t xml:space="preserve"> </w:t>
      </w:r>
    </w:p>
  </w:footnote>
  <w:footnote w:id="13">
    <w:p w:rsidR="00517E0D" w:rsidRDefault="00517E0D">
      <w:pPr>
        <w:pStyle w:val="FootnoteText"/>
      </w:pPr>
      <w:r>
        <w:rPr>
          <w:rStyle w:val="FootnoteReference"/>
        </w:rPr>
        <w:footnoteRef/>
      </w:r>
      <w:r>
        <w:t xml:space="preserve"> T</w:t>
      </w:r>
      <w:r w:rsidRPr="005361FA">
        <w:t xml:space="preserve">he </w:t>
      </w:r>
      <w:proofErr w:type="gramStart"/>
      <w:r w:rsidRPr="005361FA">
        <w:t xml:space="preserve">size of the negative impact of house prices </w:t>
      </w:r>
      <w:r>
        <w:t>on own-to own</w:t>
      </w:r>
      <w:proofErr w:type="gramEnd"/>
      <w:r>
        <w:t xml:space="preserve"> moves </w:t>
      </w:r>
      <w:r w:rsidRPr="005361FA">
        <w:t>is smaller</w:t>
      </w:r>
      <w:r>
        <w:t xml:space="preserve"> than that for all moves: -0.86</w:t>
      </w:r>
      <w:r w:rsidRPr="005361FA">
        <w:t xml:space="preserve"> (0.47)</w:t>
      </w:r>
      <w:r>
        <w:t>, although not significantly so in the light of the standard error of the estimate</w:t>
      </w:r>
      <w:r w:rsidRPr="005361FA">
        <w:t xml:space="preserve">.  </w:t>
      </w:r>
      <w:r>
        <w:t>The smaller impact could reflect a large impact of high rents in housing markets with higher house prices, causing house prices to also discourage movement involving a change in tenure.</w:t>
      </w:r>
    </w:p>
  </w:footnote>
  <w:footnote w:id="14">
    <w:p w:rsidR="00517E0D" w:rsidRDefault="00517E0D">
      <w:pPr>
        <w:pStyle w:val="FootnoteText"/>
      </w:pPr>
      <w:r>
        <w:rPr>
          <w:rStyle w:val="FootnoteReference"/>
        </w:rPr>
        <w:footnoteRef/>
      </w:r>
      <w:r>
        <w:t xml:space="preserve"> The estimated parameter (-1.39) is very similar when we use the average house price of the type of dwelling the household lived in, and the standard error is lower (0.27).</w:t>
      </w:r>
    </w:p>
  </w:footnote>
  <w:footnote w:id="15">
    <w:p w:rsidR="00517E0D" w:rsidRDefault="00517E0D" w:rsidP="00211197">
      <w:pPr>
        <w:pStyle w:val="FootnoteText"/>
      </w:pPr>
      <w:r>
        <w:rPr>
          <w:rStyle w:val="FootnoteReference"/>
        </w:rPr>
        <w:footnoteRef/>
      </w:r>
      <w:r>
        <w:t xml:space="preserve"> The larger reported ‘full samples’ in Table 4 than Table 2 reflects the fact that the linear fixed effect estimates do not drop the non-movers and those who are only observed moving.  These women contribute little to the identification of the parameters.</w:t>
      </w:r>
    </w:p>
  </w:footnote>
  <w:footnote w:id="16">
    <w:p w:rsidR="00517E0D" w:rsidRDefault="00517E0D">
      <w:pPr>
        <w:pStyle w:val="FootnoteText"/>
      </w:pPr>
      <w:r>
        <w:rPr>
          <w:rStyle w:val="FootnoteReference"/>
        </w:rPr>
        <w:footnoteRef/>
      </w:r>
      <w:r>
        <w:t xml:space="preserve"> The GMM estimate of the impact of the local unemployment rate is virtually zero.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F50"/>
    <w:multiLevelType w:val="hybridMultilevel"/>
    <w:tmpl w:val="A764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0C5F26"/>
    <w:multiLevelType w:val="hybridMultilevel"/>
    <w:tmpl w:val="C7A833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4356E3"/>
    <w:multiLevelType w:val="multilevel"/>
    <w:tmpl w:val="1EF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4ABD"/>
    <w:rsid w:val="0000368E"/>
    <w:rsid w:val="000058CE"/>
    <w:rsid w:val="00006DC3"/>
    <w:rsid w:val="00027843"/>
    <w:rsid w:val="000331F7"/>
    <w:rsid w:val="00045297"/>
    <w:rsid w:val="00054D8D"/>
    <w:rsid w:val="000663A0"/>
    <w:rsid w:val="000745F2"/>
    <w:rsid w:val="0009214B"/>
    <w:rsid w:val="00094C6B"/>
    <w:rsid w:val="000A2F49"/>
    <w:rsid w:val="000A7034"/>
    <w:rsid w:val="000B1089"/>
    <w:rsid w:val="000B1C2C"/>
    <w:rsid w:val="000C22BE"/>
    <w:rsid w:val="000D35D0"/>
    <w:rsid w:val="000D3F20"/>
    <w:rsid w:val="000D5E28"/>
    <w:rsid w:val="000E1C9B"/>
    <w:rsid w:val="000E56AC"/>
    <w:rsid w:val="000E777E"/>
    <w:rsid w:val="00102B66"/>
    <w:rsid w:val="0011042B"/>
    <w:rsid w:val="0011313D"/>
    <w:rsid w:val="0012019E"/>
    <w:rsid w:val="00126223"/>
    <w:rsid w:val="00126F39"/>
    <w:rsid w:val="001318D6"/>
    <w:rsid w:val="001377B6"/>
    <w:rsid w:val="001513E1"/>
    <w:rsid w:val="00152192"/>
    <w:rsid w:val="001551C9"/>
    <w:rsid w:val="001654F7"/>
    <w:rsid w:val="00167267"/>
    <w:rsid w:val="00177BD7"/>
    <w:rsid w:val="00182156"/>
    <w:rsid w:val="00184074"/>
    <w:rsid w:val="001857FA"/>
    <w:rsid w:val="001950A7"/>
    <w:rsid w:val="001A1936"/>
    <w:rsid w:val="001B46E8"/>
    <w:rsid w:val="001B7AF1"/>
    <w:rsid w:val="001C1AAA"/>
    <w:rsid w:val="001C50D8"/>
    <w:rsid w:val="001C6E24"/>
    <w:rsid w:val="001D2651"/>
    <w:rsid w:val="001E3421"/>
    <w:rsid w:val="001E39B8"/>
    <w:rsid w:val="001E5AEB"/>
    <w:rsid w:val="001F1402"/>
    <w:rsid w:val="001F2D98"/>
    <w:rsid w:val="002108D5"/>
    <w:rsid w:val="00210E9F"/>
    <w:rsid w:val="00211197"/>
    <w:rsid w:val="00211EF5"/>
    <w:rsid w:val="002146CD"/>
    <w:rsid w:val="002158B8"/>
    <w:rsid w:val="002240D8"/>
    <w:rsid w:val="002272F4"/>
    <w:rsid w:val="00231323"/>
    <w:rsid w:val="00233249"/>
    <w:rsid w:val="002472B6"/>
    <w:rsid w:val="00262AE4"/>
    <w:rsid w:val="0026743C"/>
    <w:rsid w:val="002777D6"/>
    <w:rsid w:val="00280580"/>
    <w:rsid w:val="00282510"/>
    <w:rsid w:val="00285972"/>
    <w:rsid w:val="0029139F"/>
    <w:rsid w:val="0029214F"/>
    <w:rsid w:val="002A34F7"/>
    <w:rsid w:val="002A3B27"/>
    <w:rsid w:val="002C6C08"/>
    <w:rsid w:val="002D288E"/>
    <w:rsid w:val="002F6166"/>
    <w:rsid w:val="002F701D"/>
    <w:rsid w:val="002F7BE7"/>
    <w:rsid w:val="00303A0C"/>
    <w:rsid w:val="00317867"/>
    <w:rsid w:val="00325341"/>
    <w:rsid w:val="00331B63"/>
    <w:rsid w:val="00334C40"/>
    <w:rsid w:val="0033518A"/>
    <w:rsid w:val="003358F7"/>
    <w:rsid w:val="003433F8"/>
    <w:rsid w:val="00344499"/>
    <w:rsid w:val="00356FF0"/>
    <w:rsid w:val="003570F1"/>
    <w:rsid w:val="003574D9"/>
    <w:rsid w:val="00365615"/>
    <w:rsid w:val="003710C4"/>
    <w:rsid w:val="00375064"/>
    <w:rsid w:val="0037742F"/>
    <w:rsid w:val="00385860"/>
    <w:rsid w:val="0039273C"/>
    <w:rsid w:val="00397138"/>
    <w:rsid w:val="003C0CEB"/>
    <w:rsid w:val="003C52FD"/>
    <w:rsid w:val="003C7D51"/>
    <w:rsid w:val="003D1676"/>
    <w:rsid w:val="003F5F52"/>
    <w:rsid w:val="0040423B"/>
    <w:rsid w:val="00406A92"/>
    <w:rsid w:val="0042031D"/>
    <w:rsid w:val="004243B8"/>
    <w:rsid w:val="00426BCE"/>
    <w:rsid w:val="00430AEE"/>
    <w:rsid w:val="00433A24"/>
    <w:rsid w:val="004358A5"/>
    <w:rsid w:val="00442503"/>
    <w:rsid w:val="00450A26"/>
    <w:rsid w:val="0046308A"/>
    <w:rsid w:val="00464FCA"/>
    <w:rsid w:val="00466069"/>
    <w:rsid w:val="004665B7"/>
    <w:rsid w:val="00467D65"/>
    <w:rsid w:val="004737C1"/>
    <w:rsid w:val="00476A26"/>
    <w:rsid w:val="004A1C87"/>
    <w:rsid w:val="004A4E7A"/>
    <w:rsid w:val="004B6083"/>
    <w:rsid w:val="004C29E5"/>
    <w:rsid w:val="004C67B3"/>
    <w:rsid w:val="004E028F"/>
    <w:rsid w:val="004F087B"/>
    <w:rsid w:val="00501477"/>
    <w:rsid w:val="0050326D"/>
    <w:rsid w:val="00506139"/>
    <w:rsid w:val="005145A7"/>
    <w:rsid w:val="00517E0D"/>
    <w:rsid w:val="00521854"/>
    <w:rsid w:val="00522D30"/>
    <w:rsid w:val="0053135A"/>
    <w:rsid w:val="00532292"/>
    <w:rsid w:val="005361FA"/>
    <w:rsid w:val="005411E6"/>
    <w:rsid w:val="005420DB"/>
    <w:rsid w:val="00547F9E"/>
    <w:rsid w:val="005529A1"/>
    <w:rsid w:val="005617E6"/>
    <w:rsid w:val="00562C8C"/>
    <w:rsid w:val="005719BE"/>
    <w:rsid w:val="00574843"/>
    <w:rsid w:val="00580032"/>
    <w:rsid w:val="005816DD"/>
    <w:rsid w:val="00581B34"/>
    <w:rsid w:val="00583AEB"/>
    <w:rsid w:val="005863EF"/>
    <w:rsid w:val="00597183"/>
    <w:rsid w:val="005A255A"/>
    <w:rsid w:val="005A7EF3"/>
    <w:rsid w:val="005A7F54"/>
    <w:rsid w:val="005B1983"/>
    <w:rsid w:val="005B2D7A"/>
    <w:rsid w:val="005B3429"/>
    <w:rsid w:val="005C644F"/>
    <w:rsid w:val="005D13FF"/>
    <w:rsid w:val="005E1CEB"/>
    <w:rsid w:val="005F387F"/>
    <w:rsid w:val="005F5818"/>
    <w:rsid w:val="005F5CCF"/>
    <w:rsid w:val="005F64A3"/>
    <w:rsid w:val="006057F0"/>
    <w:rsid w:val="00611134"/>
    <w:rsid w:val="00615A1F"/>
    <w:rsid w:val="006164E2"/>
    <w:rsid w:val="0061766B"/>
    <w:rsid w:val="006278AC"/>
    <w:rsid w:val="00634DD2"/>
    <w:rsid w:val="006400DA"/>
    <w:rsid w:val="006427AE"/>
    <w:rsid w:val="00651291"/>
    <w:rsid w:val="00653410"/>
    <w:rsid w:val="0065712A"/>
    <w:rsid w:val="006710ED"/>
    <w:rsid w:val="00671C03"/>
    <w:rsid w:val="00683E88"/>
    <w:rsid w:val="006875F1"/>
    <w:rsid w:val="00694F99"/>
    <w:rsid w:val="00696277"/>
    <w:rsid w:val="006A1BC4"/>
    <w:rsid w:val="006A35EA"/>
    <w:rsid w:val="006A440C"/>
    <w:rsid w:val="006A53DF"/>
    <w:rsid w:val="006A587E"/>
    <w:rsid w:val="006B4D67"/>
    <w:rsid w:val="006D5BA5"/>
    <w:rsid w:val="006D630C"/>
    <w:rsid w:val="006D7E46"/>
    <w:rsid w:val="006E0934"/>
    <w:rsid w:val="006E4198"/>
    <w:rsid w:val="006F2760"/>
    <w:rsid w:val="006F4EAF"/>
    <w:rsid w:val="007035BD"/>
    <w:rsid w:val="007074CE"/>
    <w:rsid w:val="00707B83"/>
    <w:rsid w:val="00711D69"/>
    <w:rsid w:val="00712392"/>
    <w:rsid w:val="00712703"/>
    <w:rsid w:val="0071427E"/>
    <w:rsid w:val="00721A0A"/>
    <w:rsid w:val="007357B0"/>
    <w:rsid w:val="00741D18"/>
    <w:rsid w:val="00760147"/>
    <w:rsid w:val="00767161"/>
    <w:rsid w:val="00770A31"/>
    <w:rsid w:val="00771528"/>
    <w:rsid w:val="00771D4A"/>
    <w:rsid w:val="00772F0F"/>
    <w:rsid w:val="007858FF"/>
    <w:rsid w:val="00790ED9"/>
    <w:rsid w:val="00791E9D"/>
    <w:rsid w:val="00792292"/>
    <w:rsid w:val="007A0282"/>
    <w:rsid w:val="007A4727"/>
    <w:rsid w:val="007B4422"/>
    <w:rsid w:val="007B5550"/>
    <w:rsid w:val="007B7877"/>
    <w:rsid w:val="007C5487"/>
    <w:rsid w:val="007E3C7F"/>
    <w:rsid w:val="007F153B"/>
    <w:rsid w:val="007F354C"/>
    <w:rsid w:val="00800DA2"/>
    <w:rsid w:val="00807FC7"/>
    <w:rsid w:val="00811F5D"/>
    <w:rsid w:val="00830497"/>
    <w:rsid w:val="00830920"/>
    <w:rsid w:val="00845BB3"/>
    <w:rsid w:val="00847926"/>
    <w:rsid w:val="008572D9"/>
    <w:rsid w:val="0086707D"/>
    <w:rsid w:val="008740CE"/>
    <w:rsid w:val="008753B8"/>
    <w:rsid w:val="008809A2"/>
    <w:rsid w:val="00882A19"/>
    <w:rsid w:val="00887910"/>
    <w:rsid w:val="008A4BF2"/>
    <w:rsid w:val="008A65E2"/>
    <w:rsid w:val="008B18EF"/>
    <w:rsid w:val="008B23B8"/>
    <w:rsid w:val="008B40CF"/>
    <w:rsid w:val="008C0D03"/>
    <w:rsid w:val="008C7A7B"/>
    <w:rsid w:val="008E0317"/>
    <w:rsid w:val="008E54D5"/>
    <w:rsid w:val="008E6746"/>
    <w:rsid w:val="008F6B1F"/>
    <w:rsid w:val="0090056D"/>
    <w:rsid w:val="0090182E"/>
    <w:rsid w:val="00914CD9"/>
    <w:rsid w:val="009174C0"/>
    <w:rsid w:val="009261DC"/>
    <w:rsid w:val="00942FED"/>
    <w:rsid w:val="00950B67"/>
    <w:rsid w:val="00951495"/>
    <w:rsid w:val="00954E83"/>
    <w:rsid w:val="00961F1C"/>
    <w:rsid w:val="0096552B"/>
    <w:rsid w:val="00975E75"/>
    <w:rsid w:val="00985B7D"/>
    <w:rsid w:val="00987937"/>
    <w:rsid w:val="00993600"/>
    <w:rsid w:val="009A039E"/>
    <w:rsid w:val="009B67BF"/>
    <w:rsid w:val="009C2E98"/>
    <w:rsid w:val="009D2E2E"/>
    <w:rsid w:val="009D2F42"/>
    <w:rsid w:val="009D7478"/>
    <w:rsid w:val="009E63FB"/>
    <w:rsid w:val="009E66E3"/>
    <w:rsid w:val="009F5A29"/>
    <w:rsid w:val="00A208E7"/>
    <w:rsid w:val="00A214BB"/>
    <w:rsid w:val="00A21580"/>
    <w:rsid w:val="00A2293C"/>
    <w:rsid w:val="00A42DEC"/>
    <w:rsid w:val="00A4587E"/>
    <w:rsid w:val="00A5059A"/>
    <w:rsid w:val="00A5234F"/>
    <w:rsid w:val="00A71C38"/>
    <w:rsid w:val="00A72F8F"/>
    <w:rsid w:val="00A84364"/>
    <w:rsid w:val="00A84EE4"/>
    <w:rsid w:val="00A86870"/>
    <w:rsid w:val="00A8731C"/>
    <w:rsid w:val="00A8762E"/>
    <w:rsid w:val="00A949C1"/>
    <w:rsid w:val="00A96F1A"/>
    <w:rsid w:val="00AA3107"/>
    <w:rsid w:val="00AA5019"/>
    <w:rsid w:val="00AA5AB0"/>
    <w:rsid w:val="00AB6849"/>
    <w:rsid w:val="00AC0253"/>
    <w:rsid w:val="00AD3BF9"/>
    <w:rsid w:val="00AD6B70"/>
    <w:rsid w:val="00AE28EE"/>
    <w:rsid w:val="00AF42E2"/>
    <w:rsid w:val="00B0400D"/>
    <w:rsid w:val="00B06619"/>
    <w:rsid w:val="00B21C42"/>
    <w:rsid w:val="00B43584"/>
    <w:rsid w:val="00B43B14"/>
    <w:rsid w:val="00B476AD"/>
    <w:rsid w:val="00B62356"/>
    <w:rsid w:val="00B63AE9"/>
    <w:rsid w:val="00B662C0"/>
    <w:rsid w:val="00B66FDF"/>
    <w:rsid w:val="00B71C4E"/>
    <w:rsid w:val="00B7726F"/>
    <w:rsid w:val="00B84E9B"/>
    <w:rsid w:val="00B85E2F"/>
    <w:rsid w:val="00B876D1"/>
    <w:rsid w:val="00B87FC2"/>
    <w:rsid w:val="00B90400"/>
    <w:rsid w:val="00B909C0"/>
    <w:rsid w:val="00B90B8C"/>
    <w:rsid w:val="00B91682"/>
    <w:rsid w:val="00BA1CB1"/>
    <w:rsid w:val="00BA5F9E"/>
    <w:rsid w:val="00BB242E"/>
    <w:rsid w:val="00BB28B2"/>
    <w:rsid w:val="00BB4ABD"/>
    <w:rsid w:val="00BB5F7A"/>
    <w:rsid w:val="00BC2502"/>
    <w:rsid w:val="00BD2936"/>
    <w:rsid w:val="00BD4E93"/>
    <w:rsid w:val="00BF52A3"/>
    <w:rsid w:val="00BF742B"/>
    <w:rsid w:val="00C04B71"/>
    <w:rsid w:val="00C05F10"/>
    <w:rsid w:val="00C11C82"/>
    <w:rsid w:val="00C14C09"/>
    <w:rsid w:val="00C15E75"/>
    <w:rsid w:val="00C200AA"/>
    <w:rsid w:val="00C25242"/>
    <w:rsid w:val="00C31D58"/>
    <w:rsid w:val="00C4153E"/>
    <w:rsid w:val="00C41724"/>
    <w:rsid w:val="00C46D68"/>
    <w:rsid w:val="00C528A4"/>
    <w:rsid w:val="00C52FF9"/>
    <w:rsid w:val="00C7546F"/>
    <w:rsid w:val="00C808E1"/>
    <w:rsid w:val="00C85C1E"/>
    <w:rsid w:val="00C91A1C"/>
    <w:rsid w:val="00C91C28"/>
    <w:rsid w:val="00CB22DB"/>
    <w:rsid w:val="00CB4E8B"/>
    <w:rsid w:val="00CB595B"/>
    <w:rsid w:val="00CC69D1"/>
    <w:rsid w:val="00CD6C2C"/>
    <w:rsid w:val="00CE2173"/>
    <w:rsid w:val="00CE71BD"/>
    <w:rsid w:val="00CF25A7"/>
    <w:rsid w:val="00CF74B5"/>
    <w:rsid w:val="00CF74D9"/>
    <w:rsid w:val="00D020D7"/>
    <w:rsid w:val="00D0314C"/>
    <w:rsid w:val="00D0668C"/>
    <w:rsid w:val="00D10C5A"/>
    <w:rsid w:val="00D11535"/>
    <w:rsid w:val="00D14F60"/>
    <w:rsid w:val="00D20998"/>
    <w:rsid w:val="00D21DEB"/>
    <w:rsid w:val="00D251D4"/>
    <w:rsid w:val="00D2655A"/>
    <w:rsid w:val="00D402B4"/>
    <w:rsid w:val="00D526E7"/>
    <w:rsid w:val="00D632DB"/>
    <w:rsid w:val="00D66227"/>
    <w:rsid w:val="00D668C7"/>
    <w:rsid w:val="00D73539"/>
    <w:rsid w:val="00D83070"/>
    <w:rsid w:val="00D87BB8"/>
    <w:rsid w:val="00D9596A"/>
    <w:rsid w:val="00DB46A3"/>
    <w:rsid w:val="00DB506B"/>
    <w:rsid w:val="00DC57AF"/>
    <w:rsid w:val="00DD1D4E"/>
    <w:rsid w:val="00DD1E28"/>
    <w:rsid w:val="00DE1F07"/>
    <w:rsid w:val="00DE1F0F"/>
    <w:rsid w:val="00DE1F5F"/>
    <w:rsid w:val="00DE234E"/>
    <w:rsid w:val="00DE64D1"/>
    <w:rsid w:val="00DE7312"/>
    <w:rsid w:val="00DF2906"/>
    <w:rsid w:val="00E11A11"/>
    <w:rsid w:val="00E3216D"/>
    <w:rsid w:val="00E34682"/>
    <w:rsid w:val="00E34CB9"/>
    <w:rsid w:val="00E36467"/>
    <w:rsid w:val="00E4186B"/>
    <w:rsid w:val="00E43373"/>
    <w:rsid w:val="00E62218"/>
    <w:rsid w:val="00E74BCD"/>
    <w:rsid w:val="00E816FB"/>
    <w:rsid w:val="00E83549"/>
    <w:rsid w:val="00E83B18"/>
    <w:rsid w:val="00E845EF"/>
    <w:rsid w:val="00E929BE"/>
    <w:rsid w:val="00E9405E"/>
    <w:rsid w:val="00E950FD"/>
    <w:rsid w:val="00E96236"/>
    <w:rsid w:val="00EA20CE"/>
    <w:rsid w:val="00EA2722"/>
    <w:rsid w:val="00EA2DDA"/>
    <w:rsid w:val="00EB36CD"/>
    <w:rsid w:val="00EB6956"/>
    <w:rsid w:val="00EC00FB"/>
    <w:rsid w:val="00EC0E7F"/>
    <w:rsid w:val="00EE5683"/>
    <w:rsid w:val="00EE6B97"/>
    <w:rsid w:val="00EE6ED6"/>
    <w:rsid w:val="00EF0285"/>
    <w:rsid w:val="00EF3F54"/>
    <w:rsid w:val="00EF60BE"/>
    <w:rsid w:val="00F00C51"/>
    <w:rsid w:val="00F037E6"/>
    <w:rsid w:val="00F11350"/>
    <w:rsid w:val="00F12F8F"/>
    <w:rsid w:val="00F17213"/>
    <w:rsid w:val="00F3255C"/>
    <w:rsid w:val="00F3581D"/>
    <w:rsid w:val="00F35CE2"/>
    <w:rsid w:val="00F476A6"/>
    <w:rsid w:val="00F56C55"/>
    <w:rsid w:val="00F574CE"/>
    <w:rsid w:val="00F60C2F"/>
    <w:rsid w:val="00F63167"/>
    <w:rsid w:val="00F71ECF"/>
    <w:rsid w:val="00F90314"/>
    <w:rsid w:val="00F92D57"/>
    <w:rsid w:val="00FA680C"/>
    <w:rsid w:val="00FB774F"/>
    <w:rsid w:val="00FC0819"/>
    <w:rsid w:val="00FC3776"/>
    <w:rsid w:val="00FC37D5"/>
    <w:rsid w:val="00FC45FC"/>
    <w:rsid w:val="00FE03FC"/>
    <w:rsid w:val="00FE08E8"/>
    <w:rsid w:val="00FE09C6"/>
    <w:rsid w:val="00FE36EB"/>
    <w:rsid w:val="00FE5EA5"/>
    <w:rsid w:val="00FF319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D8"/>
  </w:style>
  <w:style w:type="paragraph" w:styleId="Heading1">
    <w:name w:val="heading 1"/>
    <w:basedOn w:val="Normal"/>
    <w:link w:val="Heading1Char"/>
    <w:uiPriority w:val="9"/>
    <w:qFormat/>
    <w:rsid w:val="00771D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529A1"/>
  </w:style>
  <w:style w:type="character" w:styleId="FootnoteReference">
    <w:name w:val="footnote reference"/>
    <w:basedOn w:val="DefaultParagraphFont"/>
    <w:semiHidden/>
    <w:rsid w:val="005529A1"/>
    <w:rPr>
      <w:vertAlign w:val="superscript"/>
    </w:rPr>
  </w:style>
  <w:style w:type="paragraph" w:styleId="PlainText">
    <w:name w:val="Plain Text"/>
    <w:basedOn w:val="Normal"/>
    <w:rsid w:val="00FC0819"/>
    <w:rPr>
      <w:rFonts w:ascii="Courier New" w:hAnsi="Courier New" w:cs="Courier New"/>
    </w:rPr>
  </w:style>
  <w:style w:type="paragraph" w:styleId="Header">
    <w:name w:val="header"/>
    <w:basedOn w:val="Normal"/>
    <w:link w:val="HeaderChar"/>
    <w:uiPriority w:val="99"/>
    <w:semiHidden/>
    <w:unhideWhenUsed/>
    <w:rsid w:val="00914CD9"/>
    <w:pPr>
      <w:tabs>
        <w:tab w:val="center" w:pos="4513"/>
        <w:tab w:val="right" w:pos="9026"/>
      </w:tabs>
    </w:pPr>
  </w:style>
  <w:style w:type="character" w:customStyle="1" w:styleId="HeaderChar">
    <w:name w:val="Header Char"/>
    <w:basedOn w:val="DefaultParagraphFont"/>
    <w:link w:val="Header"/>
    <w:uiPriority w:val="99"/>
    <w:semiHidden/>
    <w:rsid w:val="00914CD9"/>
  </w:style>
  <w:style w:type="paragraph" w:styleId="Footer">
    <w:name w:val="footer"/>
    <w:basedOn w:val="Normal"/>
    <w:link w:val="FooterChar"/>
    <w:uiPriority w:val="99"/>
    <w:unhideWhenUsed/>
    <w:rsid w:val="00914CD9"/>
    <w:pPr>
      <w:tabs>
        <w:tab w:val="center" w:pos="4513"/>
        <w:tab w:val="right" w:pos="9026"/>
      </w:tabs>
    </w:pPr>
  </w:style>
  <w:style w:type="character" w:customStyle="1" w:styleId="FooterChar">
    <w:name w:val="Footer Char"/>
    <w:basedOn w:val="DefaultParagraphFont"/>
    <w:link w:val="Footer"/>
    <w:uiPriority w:val="99"/>
    <w:rsid w:val="00914CD9"/>
  </w:style>
  <w:style w:type="character" w:styleId="Hyperlink">
    <w:name w:val="Hyperlink"/>
    <w:basedOn w:val="DefaultParagraphFont"/>
    <w:uiPriority w:val="99"/>
    <w:unhideWhenUsed/>
    <w:rsid w:val="00EE6ED6"/>
    <w:rPr>
      <w:color w:val="0000FF"/>
      <w:u w:val="single"/>
    </w:rPr>
  </w:style>
  <w:style w:type="table" w:styleId="TableGrid">
    <w:name w:val="Table Grid"/>
    <w:basedOn w:val="TableNormal"/>
    <w:uiPriority w:val="59"/>
    <w:rsid w:val="00901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5A7"/>
    <w:rPr>
      <w:rFonts w:ascii="Tahoma" w:hAnsi="Tahoma" w:cs="Tahoma"/>
      <w:sz w:val="16"/>
      <w:szCs w:val="16"/>
    </w:rPr>
  </w:style>
  <w:style w:type="character" w:customStyle="1" w:styleId="BalloonTextChar">
    <w:name w:val="Balloon Text Char"/>
    <w:basedOn w:val="DefaultParagraphFont"/>
    <w:link w:val="BalloonText"/>
    <w:uiPriority w:val="99"/>
    <w:semiHidden/>
    <w:rsid w:val="005145A7"/>
    <w:rPr>
      <w:rFonts w:ascii="Tahoma" w:hAnsi="Tahoma" w:cs="Tahoma"/>
      <w:sz w:val="16"/>
      <w:szCs w:val="16"/>
    </w:rPr>
  </w:style>
  <w:style w:type="paragraph" w:styleId="ListParagraph">
    <w:name w:val="List Paragraph"/>
    <w:basedOn w:val="Normal"/>
    <w:uiPriority w:val="34"/>
    <w:qFormat/>
    <w:rsid w:val="00E9623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71D4A"/>
    <w:rPr>
      <w:b/>
      <w:bCs/>
      <w:kern w:val="36"/>
      <w:sz w:val="48"/>
      <w:szCs w:val="48"/>
    </w:rPr>
  </w:style>
  <w:style w:type="paragraph" w:styleId="NormalWeb">
    <w:name w:val="Normal (Web)"/>
    <w:basedOn w:val="Normal"/>
    <w:uiPriority w:val="99"/>
    <w:semiHidden/>
    <w:unhideWhenUsed/>
    <w:rsid w:val="00771D4A"/>
    <w:pPr>
      <w:spacing w:before="100" w:beforeAutospacing="1" w:after="100" w:afterAutospacing="1"/>
    </w:pPr>
    <w:rPr>
      <w:sz w:val="24"/>
      <w:szCs w:val="24"/>
    </w:rPr>
  </w:style>
  <w:style w:type="character" w:styleId="Strong">
    <w:name w:val="Strong"/>
    <w:basedOn w:val="DefaultParagraphFont"/>
    <w:uiPriority w:val="22"/>
    <w:qFormat/>
    <w:rsid w:val="00771D4A"/>
    <w:rPr>
      <w:b/>
      <w:bCs/>
    </w:rPr>
  </w:style>
  <w:style w:type="character" w:customStyle="1" w:styleId="pagination">
    <w:name w:val="pagination"/>
    <w:basedOn w:val="DefaultParagraphFont"/>
    <w:rsid w:val="00BA5F9E"/>
  </w:style>
  <w:style w:type="character" w:customStyle="1" w:styleId="doi">
    <w:name w:val="doi"/>
    <w:basedOn w:val="DefaultParagraphFont"/>
    <w:rsid w:val="00BA5F9E"/>
  </w:style>
  <w:style w:type="character" w:customStyle="1" w:styleId="label">
    <w:name w:val="label"/>
    <w:basedOn w:val="DefaultParagraphFont"/>
    <w:rsid w:val="00BA5F9E"/>
  </w:style>
  <w:style w:type="character" w:customStyle="1" w:styleId="value">
    <w:name w:val="value"/>
    <w:basedOn w:val="DefaultParagraphFont"/>
    <w:rsid w:val="00BA5F9E"/>
  </w:style>
  <w:style w:type="paragraph" w:customStyle="1" w:styleId="authors">
    <w:name w:val="authors"/>
    <w:basedOn w:val="Normal"/>
    <w:rsid w:val="00BA5F9E"/>
    <w:pPr>
      <w:spacing w:before="100" w:beforeAutospacing="1" w:after="100" w:afterAutospacing="1"/>
    </w:pPr>
    <w:rPr>
      <w:sz w:val="24"/>
      <w:szCs w:val="24"/>
    </w:rPr>
  </w:style>
  <w:style w:type="character" w:styleId="Emphasis">
    <w:name w:val="Emphasis"/>
    <w:basedOn w:val="DefaultParagraphFont"/>
    <w:uiPriority w:val="20"/>
    <w:qFormat/>
    <w:rsid w:val="00B85E2F"/>
    <w:rPr>
      <w:i/>
      <w:iCs/>
    </w:rPr>
  </w:style>
</w:styles>
</file>

<file path=word/webSettings.xml><?xml version="1.0" encoding="utf-8"?>
<w:webSettings xmlns:r="http://schemas.openxmlformats.org/officeDocument/2006/relationships" xmlns:w="http://schemas.openxmlformats.org/wordprocessingml/2006/main">
  <w:divs>
    <w:div w:id="870729999">
      <w:bodyDiv w:val="1"/>
      <w:marLeft w:val="0"/>
      <w:marRight w:val="0"/>
      <w:marTop w:val="0"/>
      <w:marBottom w:val="0"/>
      <w:divBdr>
        <w:top w:val="none" w:sz="0" w:space="0" w:color="auto"/>
        <w:left w:val="none" w:sz="0" w:space="0" w:color="auto"/>
        <w:bottom w:val="none" w:sz="0" w:space="0" w:color="auto"/>
        <w:right w:val="none" w:sz="0" w:space="0" w:color="auto"/>
      </w:divBdr>
      <w:divsChild>
        <w:div w:id="1421752142">
          <w:marLeft w:val="0"/>
          <w:marRight w:val="0"/>
          <w:marTop w:val="0"/>
          <w:marBottom w:val="0"/>
          <w:divBdr>
            <w:top w:val="none" w:sz="0" w:space="0" w:color="auto"/>
            <w:left w:val="none" w:sz="0" w:space="0" w:color="auto"/>
            <w:bottom w:val="none" w:sz="0" w:space="0" w:color="auto"/>
            <w:right w:val="none" w:sz="0" w:space="0" w:color="auto"/>
          </w:divBdr>
          <w:divsChild>
            <w:div w:id="1961566880">
              <w:marLeft w:val="0"/>
              <w:marRight w:val="0"/>
              <w:marTop w:val="0"/>
              <w:marBottom w:val="0"/>
              <w:divBdr>
                <w:top w:val="none" w:sz="0" w:space="0" w:color="auto"/>
                <w:left w:val="none" w:sz="0" w:space="0" w:color="auto"/>
                <w:bottom w:val="none" w:sz="0" w:space="0" w:color="auto"/>
                <w:right w:val="none" w:sz="0" w:space="0" w:color="auto"/>
              </w:divBdr>
              <w:divsChild>
                <w:div w:id="1521049663">
                  <w:marLeft w:val="0"/>
                  <w:marRight w:val="0"/>
                  <w:marTop w:val="0"/>
                  <w:marBottom w:val="0"/>
                  <w:divBdr>
                    <w:top w:val="none" w:sz="0" w:space="0" w:color="auto"/>
                    <w:left w:val="none" w:sz="0" w:space="0" w:color="auto"/>
                    <w:bottom w:val="none" w:sz="0" w:space="0" w:color="auto"/>
                    <w:right w:val="none" w:sz="0" w:space="0" w:color="auto"/>
                  </w:divBdr>
                  <w:divsChild>
                    <w:div w:id="1715036219">
                      <w:marLeft w:val="0"/>
                      <w:marRight w:val="0"/>
                      <w:marTop w:val="0"/>
                      <w:marBottom w:val="0"/>
                      <w:divBdr>
                        <w:top w:val="none" w:sz="0" w:space="0" w:color="auto"/>
                        <w:left w:val="none" w:sz="0" w:space="0" w:color="auto"/>
                        <w:bottom w:val="none" w:sz="0" w:space="0" w:color="auto"/>
                        <w:right w:val="none" w:sz="0" w:space="0" w:color="auto"/>
                      </w:divBdr>
                      <w:divsChild>
                        <w:div w:id="995180981">
                          <w:marLeft w:val="0"/>
                          <w:marRight w:val="0"/>
                          <w:marTop w:val="0"/>
                          <w:marBottom w:val="0"/>
                          <w:divBdr>
                            <w:top w:val="none" w:sz="0" w:space="0" w:color="auto"/>
                            <w:left w:val="none" w:sz="0" w:space="0" w:color="auto"/>
                            <w:bottom w:val="none" w:sz="0" w:space="0" w:color="auto"/>
                            <w:right w:val="none" w:sz="0" w:space="0" w:color="auto"/>
                          </w:divBdr>
                          <w:divsChild>
                            <w:div w:id="2138987248">
                              <w:marLeft w:val="-150"/>
                              <w:marRight w:val="0"/>
                              <w:marTop w:val="0"/>
                              <w:marBottom w:val="0"/>
                              <w:divBdr>
                                <w:top w:val="none" w:sz="0" w:space="0" w:color="auto"/>
                                <w:left w:val="none" w:sz="0" w:space="0" w:color="auto"/>
                                <w:bottom w:val="none" w:sz="0" w:space="0" w:color="auto"/>
                                <w:right w:val="none" w:sz="0" w:space="0" w:color="auto"/>
                              </w:divBdr>
                              <w:divsChild>
                                <w:div w:id="954213939">
                                  <w:marLeft w:val="0"/>
                                  <w:marRight w:val="0"/>
                                  <w:marTop w:val="0"/>
                                  <w:marBottom w:val="0"/>
                                  <w:divBdr>
                                    <w:top w:val="none" w:sz="0" w:space="0" w:color="auto"/>
                                    <w:left w:val="none" w:sz="0" w:space="0" w:color="auto"/>
                                    <w:bottom w:val="none" w:sz="0" w:space="0" w:color="auto"/>
                                    <w:right w:val="none" w:sz="0" w:space="0" w:color="auto"/>
                                  </w:divBdr>
                                  <w:divsChild>
                                    <w:div w:id="285434882">
                                      <w:marLeft w:val="0"/>
                                      <w:marRight w:val="0"/>
                                      <w:marTop w:val="0"/>
                                      <w:marBottom w:val="0"/>
                                      <w:divBdr>
                                        <w:top w:val="none" w:sz="0" w:space="0" w:color="auto"/>
                                        <w:left w:val="none" w:sz="0" w:space="0" w:color="auto"/>
                                        <w:bottom w:val="none" w:sz="0" w:space="0" w:color="auto"/>
                                        <w:right w:val="none" w:sz="0" w:space="0" w:color="auto"/>
                                      </w:divBdr>
                                      <w:divsChild>
                                        <w:div w:id="1729986119">
                                          <w:marLeft w:val="0"/>
                                          <w:marRight w:val="0"/>
                                          <w:marTop w:val="0"/>
                                          <w:marBottom w:val="0"/>
                                          <w:divBdr>
                                            <w:top w:val="none" w:sz="0" w:space="0" w:color="auto"/>
                                            <w:left w:val="none" w:sz="0" w:space="0" w:color="auto"/>
                                            <w:bottom w:val="none" w:sz="0" w:space="0" w:color="auto"/>
                                            <w:right w:val="none" w:sz="0" w:space="0" w:color="auto"/>
                                          </w:divBdr>
                                          <w:divsChild>
                                            <w:div w:id="1624579941">
                                              <w:marLeft w:val="0"/>
                                              <w:marRight w:val="0"/>
                                              <w:marTop w:val="0"/>
                                              <w:marBottom w:val="0"/>
                                              <w:divBdr>
                                                <w:top w:val="none" w:sz="0" w:space="0" w:color="auto"/>
                                                <w:left w:val="none" w:sz="0" w:space="0" w:color="auto"/>
                                                <w:bottom w:val="none" w:sz="0" w:space="0" w:color="auto"/>
                                                <w:right w:val="none" w:sz="0" w:space="0" w:color="auto"/>
                                              </w:divBdr>
                                              <w:divsChild>
                                                <w:div w:id="1029644523">
                                                  <w:marLeft w:val="0"/>
                                                  <w:marRight w:val="0"/>
                                                  <w:marTop w:val="0"/>
                                                  <w:marBottom w:val="0"/>
                                                  <w:divBdr>
                                                    <w:top w:val="none" w:sz="0" w:space="0" w:color="auto"/>
                                                    <w:left w:val="none" w:sz="0" w:space="0" w:color="auto"/>
                                                    <w:bottom w:val="none" w:sz="0" w:space="0" w:color="auto"/>
                                                    <w:right w:val="none" w:sz="0" w:space="0" w:color="auto"/>
                                                  </w:divBdr>
                                                  <w:divsChild>
                                                    <w:div w:id="1677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006129">
      <w:bodyDiv w:val="1"/>
      <w:marLeft w:val="0"/>
      <w:marRight w:val="0"/>
      <w:marTop w:val="0"/>
      <w:marBottom w:val="0"/>
      <w:divBdr>
        <w:top w:val="none" w:sz="0" w:space="0" w:color="auto"/>
        <w:left w:val="none" w:sz="0" w:space="0" w:color="auto"/>
        <w:bottom w:val="none" w:sz="0" w:space="0" w:color="auto"/>
        <w:right w:val="none" w:sz="0" w:space="0" w:color="auto"/>
      </w:divBdr>
      <w:divsChild>
        <w:div w:id="193420841">
          <w:marLeft w:val="0"/>
          <w:marRight w:val="0"/>
          <w:marTop w:val="0"/>
          <w:marBottom w:val="0"/>
          <w:divBdr>
            <w:top w:val="none" w:sz="0" w:space="0" w:color="auto"/>
            <w:left w:val="none" w:sz="0" w:space="0" w:color="auto"/>
            <w:bottom w:val="none" w:sz="0" w:space="0" w:color="auto"/>
            <w:right w:val="none" w:sz="0" w:space="0" w:color="auto"/>
          </w:divBdr>
          <w:divsChild>
            <w:div w:id="529729033">
              <w:marLeft w:val="0"/>
              <w:marRight w:val="0"/>
              <w:marTop w:val="0"/>
              <w:marBottom w:val="0"/>
              <w:divBdr>
                <w:top w:val="none" w:sz="0" w:space="0" w:color="auto"/>
                <w:left w:val="none" w:sz="0" w:space="0" w:color="auto"/>
                <w:bottom w:val="none" w:sz="0" w:space="0" w:color="auto"/>
                <w:right w:val="none" w:sz="0" w:space="0" w:color="auto"/>
              </w:divBdr>
            </w:div>
          </w:divsChild>
        </w:div>
        <w:div w:id="2120637948">
          <w:marLeft w:val="0"/>
          <w:marRight w:val="0"/>
          <w:marTop w:val="0"/>
          <w:marBottom w:val="0"/>
          <w:divBdr>
            <w:top w:val="none" w:sz="0" w:space="0" w:color="auto"/>
            <w:left w:val="none" w:sz="0" w:space="0" w:color="auto"/>
            <w:bottom w:val="none" w:sz="0" w:space="0" w:color="auto"/>
            <w:right w:val="none" w:sz="0" w:space="0" w:color="auto"/>
          </w:divBdr>
        </w:div>
      </w:divsChild>
    </w:div>
    <w:div w:id="1527324916">
      <w:bodyDiv w:val="1"/>
      <w:marLeft w:val="0"/>
      <w:marRight w:val="0"/>
      <w:marTop w:val="0"/>
      <w:marBottom w:val="0"/>
      <w:divBdr>
        <w:top w:val="none" w:sz="0" w:space="0" w:color="auto"/>
        <w:left w:val="none" w:sz="0" w:space="0" w:color="auto"/>
        <w:bottom w:val="none" w:sz="0" w:space="0" w:color="auto"/>
        <w:right w:val="none" w:sz="0" w:space="0" w:color="auto"/>
      </w:divBdr>
      <w:divsChild>
        <w:div w:id="322780110">
          <w:marLeft w:val="0"/>
          <w:marRight w:val="0"/>
          <w:marTop w:val="0"/>
          <w:marBottom w:val="0"/>
          <w:divBdr>
            <w:top w:val="none" w:sz="0" w:space="0" w:color="auto"/>
            <w:left w:val="none" w:sz="0" w:space="0" w:color="auto"/>
            <w:bottom w:val="none" w:sz="0" w:space="0" w:color="auto"/>
            <w:right w:val="none" w:sz="0" w:space="0" w:color="auto"/>
          </w:divBdr>
          <w:divsChild>
            <w:div w:id="1702125256">
              <w:marLeft w:val="0"/>
              <w:marRight w:val="0"/>
              <w:marTop w:val="0"/>
              <w:marBottom w:val="0"/>
              <w:divBdr>
                <w:top w:val="none" w:sz="0" w:space="0" w:color="auto"/>
                <w:left w:val="none" w:sz="0" w:space="0" w:color="auto"/>
                <w:bottom w:val="none" w:sz="0" w:space="0" w:color="auto"/>
                <w:right w:val="none" w:sz="0" w:space="0" w:color="auto"/>
              </w:divBdr>
            </w:div>
            <w:div w:id="1227685988">
              <w:marLeft w:val="0"/>
              <w:marRight w:val="0"/>
              <w:marTop w:val="0"/>
              <w:marBottom w:val="0"/>
              <w:divBdr>
                <w:top w:val="none" w:sz="0" w:space="0" w:color="auto"/>
                <w:left w:val="none" w:sz="0" w:space="0" w:color="auto"/>
                <w:bottom w:val="none" w:sz="0" w:space="0" w:color="auto"/>
                <w:right w:val="none" w:sz="0" w:space="0" w:color="auto"/>
              </w:divBdr>
            </w:div>
          </w:divsChild>
        </w:div>
        <w:div w:id="513610652">
          <w:marLeft w:val="0"/>
          <w:marRight w:val="0"/>
          <w:marTop w:val="0"/>
          <w:marBottom w:val="0"/>
          <w:divBdr>
            <w:top w:val="none" w:sz="0" w:space="0" w:color="auto"/>
            <w:left w:val="none" w:sz="0" w:space="0" w:color="auto"/>
            <w:bottom w:val="none" w:sz="0" w:space="0" w:color="auto"/>
            <w:right w:val="none" w:sz="0" w:space="0" w:color="auto"/>
          </w:divBdr>
          <w:divsChild>
            <w:div w:id="1564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6616">
      <w:bodyDiv w:val="1"/>
      <w:marLeft w:val="0"/>
      <w:marRight w:val="0"/>
      <w:marTop w:val="0"/>
      <w:marBottom w:val="0"/>
      <w:divBdr>
        <w:top w:val="none" w:sz="0" w:space="0" w:color="auto"/>
        <w:left w:val="none" w:sz="0" w:space="0" w:color="auto"/>
        <w:bottom w:val="none" w:sz="0" w:space="0" w:color="auto"/>
        <w:right w:val="none" w:sz="0" w:space="0" w:color="auto"/>
      </w:divBdr>
    </w:div>
    <w:div w:id="2115903425">
      <w:bodyDiv w:val="1"/>
      <w:marLeft w:val="0"/>
      <w:marRight w:val="0"/>
      <w:marTop w:val="0"/>
      <w:marBottom w:val="0"/>
      <w:divBdr>
        <w:top w:val="none" w:sz="0" w:space="0" w:color="auto"/>
        <w:left w:val="none" w:sz="0" w:space="0" w:color="auto"/>
        <w:bottom w:val="none" w:sz="0" w:space="0" w:color="auto"/>
        <w:right w:val="none" w:sz="0" w:space="0" w:color="auto"/>
      </w:divBdr>
      <w:divsChild>
        <w:div w:id="395907210">
          <w:marLeft w:val="0"/>
          <w:marRight w:val="0"/>
          <w:marTop w:val="0"/>
          <w:marBottom w:val="0"/>
          <w:divBdr>
            <w:top w:val="none" w:sz="0" w:space="0" w:color="auto"/>
            <w:left w:val="none" w:sz="0" w:space="0" w:color="auto"/>
            <w:bottom w:val="none" w:sz="0" w:space="0" w:color="auto"/>
            <w:right w:val="none" w:sz="0" w:space="0" w:color="auto"/>
          </w:divBdr>
          <w:divsChild>
            <w:div w:id="603851951">
              <w:marLeft w:val="0"/>
              <w:marRight w:val="0"/>
              <w:marTop w:val="0"/>
              <w:marBottom w:val="0"/>
              <w:divBdr>
                <w:top w:val="none" w:sz="0" w:space="0" w:color="auto"/>
                <w:left w:val="none" w:sz="0" w:space="0" w:color="auto"/>
                <w:bottom w:val="none" w:sz="0" w:space="0" w:color="auto"/>
                <w:right w:val="none" w:sz="0" w:space="0" w:color="auto"/>
              </w:divBdr>
              <w:divsChild>
                <w:div w:id="1309672633">
                  <w:marLeft w:val="0"/>
                  <w:marRight w:val="0"/>
                  <w:marTop w:val="0"/>
                  <w:marBottom w:val="0"/>
                  <w:divBdr>
                    <w:top w:val="none" w:sz="0" w:space="0" w:color="auto"/>
                    <w:left w:val="none" w:sz="0" w:space="0" w:color="auto"/>
                    <w:bottom w:val="none" w:sz="0" w:space="0" w:color="auto"/>
                    <w:right w:val="none" w:sz="0" w:space="0" w:color="auto"/>
                  </w:divBdr>
                  <w:divsChild>
                    <w:div w:id="458031473">
                      <w:marLeft w:val="0"/>
                      <w:marRight w:val="0"/>
                      <w:marTop w:val="0"/>
                      <w:marBottom w:val="0"/>
                      <w:divBdr>
                        <w:top w:val="none" w:sz="0" w:space="0" w:color="auto"/>
                        <w:left w:val="none" w:sz="0" w:space="0" w:color="auto"/>
                        <w:bottom w:val="none" w:sz="0" w:space="0" w:color="auto"/>
                        <w:right w:val="none" w:sz="0" w:space="0" w:color="auto"/>
                      </w:divBdr>
                      <w:divsChild>
                        <w:div w:id="152839034">
                          <w:marLeft w:val="0"/>
                          <w:marRight w:val="0"/>
                          <w:marTop w:val="0"/>
                          <w:marBottom w:val="0"/>
                          <w:divBdr>
                            <w:top w:val="none" w:sz="0" w:space="0" w:color="auto"/>
                            <w:left w:val="none" w:sz="0" w:space="0" w:color="auto"/>
                            <w:bottom w:val="none" w:sz="0" w:space="0" w:color="auto"/>
                            <w:right w:val="none" w:sz="0" w:space="0" w:color="auto"/>
                          </w:divBdr>
                          <w:divsChild>
                            <w:div w:id="1778255222">
                              <w:marLeft w:val="-150"/>
                              <w:marRight w:val="0"/>
                              <w:marTop w:val="0"/>
                              <w:marBottom w:val="0"/>
                              <w:divBdr>
                                <w:top w:val="none" w:sz="0" w:space="0" w:color="auto"/>
                                <w:left w:val="none" w:sz="0" w:space="0" w:color="auto"/>
                                <w:bottom w:val="none" w:sz="0" w:space="0" w:color="auto"/>
                                <w:right w:val="none" w:sz="0" w:space="0" w:color="auto"/>
                              </w:divBdr>
                              <w:divsChild>
                                <w:div w:id="1118138765">
                                  <w:marLeft w:val="0"/>
                                  <w:marRight w:val="0"/>
                                  <w:marTop w:val="0"/>
                                  <w:marBottom w:val="0"/>
                                  <w:divBdr>
                                    <w:top w:val="none" w:sz="0" w:space="0" w:color="auto"/>
                                    <w:left w:val="none" w:sz="0" w:space="0" w:color="auto"/>
                                    <w:bottom w:val="none" w:sz="0" w:space="0" w:color="auto"/>
                                    <w:right w:val="none" w:sz="0" w:space="0" w:color="auto"/>
                                  </w:divBdr>
                                  <w:divsChild>
                                    <w:div w:id="677585487">
                                      <w:marLeft w:val="0"/>
                                      <w:marRight w:val="0"/>
                                      <w:marTop w:val="0"/>
                                      <w:marBottom w:val="0"/>
                                      <w:divBdr>
                                        <w:top w:val="none" w:sz="0" w:space="0" w:color="auto"/>
                                        <w:left w:val="none" w:sz="0" w:space="0" w:color="auto"/>
                                        <w:bottom w:val="none" w:sz="0" w:space="0" w:color="auto"/>
                                        <w:right w:val="none" w:sz="0" w:space="0" w:color="auto"/>
                                      </w:divBdr>
                                      <w:divsChild>
                                        <w:div w:id="453136584">
                                          <w:marLeft w:val="0"/>
                                          <w:marRight w:val="0"/>
                                          <w:marTop w:val="0"/>
                                          <w:marBottom w:val="0"/>
                                          <w:divBdr>
                                            <w:top w:val="none" w:sz="0" w:space="0" w:color="auto"/>
                                            <w:left w:val="none" w:sz="0" w:space="0" w:color="auto"/>
                                            <w:bottom w:val="none" w:sz="0" w:space="0" w:color="auto"/>
                                            <w:right w:val="none" w:sz="0" w:space="0" w:color="auto"/>
                                          </w:divBdr>
                                          <w:divsChild>
                                            <w:div w:id="1734887813">
                                              <w:marLeft w:val="0"/>
                                              <w:marRight w:val="0"/>
                                              <w:marTop w:val="0"/>
                                              <w:marBottom w:val="0"/>
                                              <w:divBdr>
                                                <w:top w:val="none" w:sz="0" w:space="0" w:color="auto"/>
                                                <w:left w:val="none" w:sz="0" w:space="0" w:color="auto"/>
                                                <w:bottom w:val="none" w:sz="0" w:space="0" w:color="auto"/>
                                                <w:right w:val="none" w:sz="0" w:space="0" w:color="auto"/>
                                              </w:divBdr>
                                              <w:divsChild>
                                                <w:div w:id="1334331953">
                                                  <w:marLeft w:val="0"/>
                                                  <w:marRight w:val="0"/>
                                                  <w:marTop w:val="0"/>
                                                  <w:marBottom w:val="0"/>
                                                  <w:divBdr>
                                                    <w:top w:val="none" w:sz="0" w:space="0" w:color="auto"/>
                                                    <w:left w:val="none" w:sz="0" w:space="0" w:color="auto"/>
                                                    <w:bottom w:val="none" w:sz="0" w:space="0" w:color="auto"/>
                                                    <w:right w:val="none" w:sz="0" w:space="0" w:color="auto"/>
                                                  </w:divBdr>
                                                  <w:divsChild>
                                                    <w:div w:id="12523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NS_coding_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02AB-66A6-4836-8724-D33E5C15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6408</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 Simple Model of Financial Influences on Residential Movement</vt:lpstr>
    </vt:vector>
  </TitlesOfParts>
  <Company>ISER University of Essex</Company>
  <LinksUpToDate>false</LinksUpToDate>
  <CharactersWithSpaces>40491</CharactersWithSpaces>
  <SharedDoc>false</SharedDoc>
  <HLinks>
    <vt:vector size="6" baseType="variant">
      <vt:variant>
        <vt:i4>5570560</vt:i4>
      </vt:variant>
      <vt:variant>
        <vt:i4>0</vt:i4>
      </vt:variant>
      <vt:variant>
        <vt:i4>0</vt:i4>
      </vt:variant>
      <vt:variant>
        <vt:i4>5</vt:i4>
      </vt:variant>
      <vt:variant>
        <vt:lpwstr>http://en.wikipedia.org/wiki/ONS_coding_system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Model of Financial Influences on Residential Movement</dc:title>
  <dc:creator>john</dc:creator>
  <cp:lastModifiedBy>john.ermisch</cp:lastModifiedBy>
  <cp:revision>3</cp:revision>
  <cp:lastPrinted>2012-03-06T09:30:00Z</cp:lastPrinted>
  <dcterms:created xsi:type="dcterms:W3CDTF">2012-11-19T15:34:00Z</dcterms:created>
  <dcterms:modified xsi:type="dcterms:W3CDTF">2012-11-19T15:35:00Z</dcterms:modified>
</cp:coreProperties>
</file>